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AD9F4" w14:textId="77777777" w:rsidR="00DF5B44" w:rsidRPr="00040F71" w:rsidRDefault="00DF5B44" w:rsidP="00DF5B44">
      <w:pPr>
        <w:widowControl w:val="0"/>
        <w:spacing w:line="240" w:lineRule="exact"/>
        <w:jc w:val="right"/>
        <w:rPr>
          <w:rFonts w:eastAsia="Calibri"/>
          <w:sz w:val="24"/>
          <w:szCs w:val="24"/>
          <w:u w:color="000000"/>
        </w:rPr>
      </w:pPr>
      <w:r w:rsidRPr="00040F71">
        <w:rPr>
          <w:rFonts w:eastAsia="Calibri"/>
          <w:sz w:val="24"/>
          <w:szCs w:val="24"/>
          <w:u w:val="single" w:color="000000"/>
        </w:rPr>
        <w:t>File</w:t>
      </w:r>
      <w:r w:rsidRPr="00040F71">
        <w:rPr>
          <w:rFonts w:eastAsia="Calibri"/>
          <w:sz w:val="24"/>
          <w:szCs w:val="24"/>
          <w:u w:color="000000"/>
        </w:rPr>
        <w:t>: EBC</w:t>
      </w:r>
    </w:p>
    <w:p w14:paraId="68981F8F" w14:textId="77777777" w:rsidR="00DF5B44" w:rsidRPr="00040F71" w:rsidRDefault="00DF5B44" w:rsidP="00DF5B44">
      <w:pPr>
        <w:widowControl w:val="0"/>
        <w:spacing w:line="240" w:lineRule="exact"/>
        <w:jc w:val="both"/>
        <w:rPr>
          <w:rFonts w:eastAsia="Calibri"/>
          <w:sz w:val="24"/>
          <w:szCs w:val="24"/>
          <w:u w:color="000000"/>
        </w:rPr>
      </w:pPr>
    </w:p>
    <w:p w14:paraId="2EFF9A73" w14:textId="77777777" w:rsidR="00DF5B44" w:rsidRPr="00040F71" w:rsidRDefault="00DF5B44" w:rsidP="00DF5B44">
      <w:pPr>
        <w:widowControl w:val="0"/>
        <w:spacing w:line="240" w:lineRule="exact"/>
        <w:jc w:val="center"/>
        <w:rPr>
          <w:rFonts w:eastAsia="Calibri"/>
          <w:sz w:val="24"/>
          <w:szCs w:val="24"/>
          <w:u w:color="000000"/>
        </w:rPr>
      </w:pPr>
      <w:r w:rsidRPr="00040F71">
        <w:rPr>
          <w:rFonts w:eastAsia="Calibri"/>
          <w:b/>
          <w:sz w:val="24"/>
          <w:szCs w:val="24"/>
          <w:u w:color="000000"/>
        </w:rPr>
        <w:t>EMERGENCY PLANS</w:t>
      </w:r>
    </w:p>
    <w:p w14:paraId="1ED4FE07" w14:textId="77777777" w:rsidR="00DF5B44" w:rsidRPr="00040F71" w:rsidRDefault="00DF5B44" w:rsidP="00DF5B44">
      <w:pPr>
        <w:widowControl w:val="0"/>
        <w:spacing w:line="240" w:lineRule="exact"/>
        <w:jc w:val="center"/>
        <w:rPr>
          <w:rFonts w:eastAsia="Calibri"/>
          <w:sz w:val="24"/>
          <w:szCs w:val="24"/>
          <w:u w:color="000000"/>
        </w:rPr>
      </w:pPr>
    </w:p>
    <w:p w14:paraId="6C221A9F" w14:textId="77777777" w:rsidR="00DF5B44" w:rsidRPr="00040F71" w:rsidRDefault="00DF5B44" w:rsidP="00DF5B44">
      <w:pPr>
        <w:widowControl w:val="0"/>
        <w:spacing w:line="240" w:lineRule="exact"/>
        <w:jc w:val="center"/>
        <w:rPr>
          <w:rFonts w:eastAsia="Calibri"/>
          <w:sz w:val="24"/>
          <w:szCs w:val="24"/>
          <w:u w:color="000000"/>
        </w:rPr>
      </w:pPr>
    </w:p>
    <w:p w14:paraId="73643BEC" w14:textId="77777777" w:rsidR="00DF5B44" w:rsidRPr="00040F71" w:rsidRDefault="00DF5B44" w:rsidP="00DF5B44">
      <w:pPr>
        <w:widowControl w:val="0"/>
        <w:spacing w:line="240" w:lineRule="exact"/>
        <w:jc w:val="both"/>
        <w:rPr>
          <w:rFonts w:eastAsia="Calibri"/>
          <w:sz w:val="24"/>
          <w:szCs w:val="24"/>
          <w:u w:color="000000"/>
        </w:rPr>
      </w:pPr>
      <w:r w:rsidRPr="00040F71">
        <w:rPr>
          <w:rFonts w:eastAsia="Calibri"/>
          <w:sz w:val="24"/>
          <w:szCs w:val="24"/>
          <w:u w:color="000000"/>
        </w:rPr>
        <w:t xml:space="preserve">Advance planning for emergencies and disasters is essential to provide for the safety of students and staff; it also strengthens the morale of all concerned to know that plans </w:t>
      </w:r>
      <w:proofErr w:type="gramStart"/>
      <w:r w:rsidRPr="00040F71">
        <w:rPr>
          <w:rFonts w:eastAsia="Calibri"/>
          <w:sz w:val="24"/>
          <w:szCs w:val="24"/>
          <w:u w:color="000000"/>
        </w:rPr>
        <w:t>exist</w:t>
      </w:r>
      <w:proofErr w:type="gramEnd"/>
      <w:r w:rsidRPr="00040F71">
        <w:rPr>
          <w:rFonts w:eastAsia="Calibri"/>
          <w:sz w:val="24"/>
          <w:szCs w:val="24"/>
          <w:u w:color="000000"/>
        </w:rPr>
        <w:t xml:space="preserve"> and that students and staff have been trained in carrying out the plans.</w:t>
      </w:r>
    </w:p>
    <w:p w14:paraId="675BB7CE" w14:textId="77777777" w:rsidR="00DF5B44" w:rsidRPr="00040F71" w:rsidRDefault="00DF5B44" w:rsidP="00DF5B44">
      <w:pPr>
        <w:widowControl w:val="0"/>
        <w:spacing w:line="240" w:lineRule="exact"/>
        <w:jc w:val="both"/>
        <w:rPr>
          <w:rFonts w:eastAsia="Calibri"/>
          <w:sz w:val="24"/>
          <w:szCs w:val="24"/>
          <w:u w:color="000000"/>
        </w:rPr>
      </w:pPr>
    </w:p>
    <w:p w14:paraId="44A74967" w14:textId="77777777" w:rsidR="00DF5B44" w:rsidRPr="00040F71" w:rsidRDefault="00DF5B44" w:rsidP="00DF5B44">
      <w:pPr>
        <w:widowControl w:val="0"/>
        <w:spacing w:line="240" w:lineRule="exact"/>
        <w:jc w:val="both"/>
        <w:rPr>
          <w:rFonts w:eastAsia="Calibri"/>
          <w:sz w:val="24"/>
          <w:szCs w:val="24"/>
          <w:u w:color="000000"/>
        </w:rPr>
      </w:pPr>
      <w:r w:rsidRPr="00040F71">
        <w:rPr>
          <w:rFonts w:eastAsia="Calibri"/>
          <w:sz w:val="24"/>
          <w:szCs w:val="24"/>
          <w:u w:color="000000"/>
        </w:rPr>
        <w:t>The Superintendent will develop and maintain plans that meet the requirements of state law for preparedness in case of fire, civil emergencies, and natural disasters.</w:t>
      </w:r>
    </w:p>
    <w:p w14:paraId="60B7E003" w14:textId="77777777" w:rsidR="00DF5B44" w:rsidRPr="00040F71" w:rsidRDefault="00DF5B44" w:rsidP="00DF5B44">
      <w:pPr>
        <w:widowControl w:val="0"/>
        <w:spacing w:line="240" w:lineRule="exact"/>
        <w:jc w:val="both"/>
        <w:rPr>
          <w:rFonts w:eastAsia="Calibri"/>
          <w:sz w:val="24"/>
          <w:szCs w:val="24"/>
          <w:u w:color="000000"/>
        </w:rPr>
      </w:pPr>
    </w:p>
    <w:p w14:paraId="0919CD00" w14:textId="77777777" w:rsidR="00DF5B44" w:rsidRPr="00040F71" w:rsidRDefault="00DF5B44" w:rsidP="00DF5B44">
      <w:pPr>
        <w:widowControl w:val="0"/>
        <w:spacing w:line="240" w:lineRule="exact"/>
        <w:jc w:val="both"/>
        <w:rPr>
          <w:rFonts w:eastAsia="Calibri"/>
          <w:sz w:val="24"/>
          <w:szCs w:val="24"/>
          <w:u w:color="000000"/>
        </w:rPr>
      </w:pPr>
      <w:r w:rsidRPr="00040F71">
        <w:rPr>
          <w:rFonts w:eastAsia="Calibri"/>
          <w:sz w:val="24"/>
          <w:szCs w:val="24"/>
          <w:u w:color="000000"/>
        </w:rPr>
        <w:t>The Superintendent shall develop, in consultation with school nurses, school physicians, athletic coaches, trainers, and local police, fire and emergency personnel, an Emergency Medical Response Plan for each school in the district. Each Plan shall include:</w:t>
      </w:r>
    </w:p>
    <w:p w14:paraId="3DDA40C8" w14:textId="77777777" w:rsidR="00DF5B44" w:rsidRPr="00040F71" w:rsidRDefault="00DF5B44" w:rsidP="00DF5B44">
      <w:pPr>
        <w:widowControl w:val="0"/>
        <w:tabs>
          <w:tab w:val="left" w:pos="360"/>
        </w:tabs>
        <w:spacing w:line="240" w:lineRule="exact"/>
        <w:ind w:left="360" w:hanging="360"/>
        <w:jc w:val="both"/>
        <w:rPr>
          <w:rFonts w:eastAsia="Calibri"/>
          <w:sz w:val="24"/>
          <w:szCs w:val="24"/>
          <w:u w:color="000000"/>
        </w:rPr>
      </w:pPr>
    </w:p>
    <w:p w14:paraId="78F412F1" w14:textId="77777777" w:rsidR="00DF5B44" w:rsidRPr="00040F71" w:rsidRDefault="00DF5B44" w:rsidP="00DF5B44">
      <w:pPr>
        <w:widowControl w:val="0"/>
        <w:numPr>
          <w:ilvl w:val="0"/>
          <w:numId w:val="1"/>
        </w:numPr>
        <w:pBdr>
          <w:top w:val="nil"/>
          <w:left w:val="nil"/>
          <w:bottom w:val="nil"/>
          <w:right w:val="nil"/>
          <w:between w:val="nil"/>
          <w:bar w:val="nil"/>
        </w:pBdr>
        <w:tabs>
          <w:tab w:val="left" w:pos="360"/>
        </w:tabs>
        <w:spacing w:line="240" w:lineRule="exact"/>
        <w:ind w:left="360"/>
        <w:jc w:val="both"/>
        <w:rPr>
          <w:rFonts w:eastAsia="Calibri"/>
          <w:sz w:val="24"/>
          <w:szCs w:val="24"/>
          <w:u w:color="000000"/>
        </w:rPr>
      </w:pPr>
      <w:r w:rsidRPr="00040F71">
        <w:rPr>
          <w:rFonts w:eastAsia="Calibri"/>
          <w:sz w:val="24"/>
          <w:szCs w:val="24"/>
          <w:u w:color="000000"/>
        </w:rPr>
        <w:t xml:space="preserve">A method establishing a rapid communications system linking all parts of the school campus, including outdoor facilities, to local Emergency Medical Services along with protocols to clarify when EMS and other emergency contacts will be called. </w:t>
      </w:r>
    </w:p>
    <w:p w14:paraId="4687A308" w14:textId="77777777" w:rsidR="00DF5B44" w:rsidRPr="00040F71" w:rsidRDefault="00DF5B44" w:rsidP="00DF5B44">
      <w:pPr>
        <w:widowControl w:val="0"/>
        <w:tabs>
          <w:tab w:val="left" w:pos="360"/>
        </w:tabs>
        <w:spacing w:line="240" w:lineRule="exact"/>
        <w:ind w:left="360" w:hanging="360"/>
        <w:jc w:val="both"/>
        <w:rPr>
          <w:rFonts w:eastAsia="Calibri"/>
          <w:sz w:val="24"/>
          <w:szCs w:val="24"/>
          <w:u w:color="000000"/>
        </w:rPr>
      </w:pPr>
    </w:p>
    <w:p w14:paraId="5C8650EE" w14:textId="77777777" w:rsidR="00DF5B44" w:rsidRPr="00040F71" w:rsidRDefault="00DF5B44" w:rsidP="00DF5B44">
      <w:pPr>
        <w:widowControl w:val="0"/>
        <w:numPr>
          <w:ilvl w:val="0"/>
          <w:numId w:val="1"/>
        </w:numPr>
        <w:pBdr>
          <w:top w:val="nil"/>
          <w:left w:val="nil"/>
          <w:bottom w:val="nil"/>
          <w:right w:val="nil"/>
          <w:between w:val="nil"/>
          <w:bar w:val="nil"/>
        </w:pBdr>
        <w:tabs>
          <w:tab w:val="left" w:pos="360"/>
        </w:tabs>
        <w:spacing w:line="240" w:lineRule="exact"/>
        <w:ind w:left="360"/>
        <w:jc w:val="both"/>
        <w:rPr>
          <w:rFonts w:eastAsia="Calibri"/>
          <w:sz w:val="24"/>
          <w:szCs w:val="24"/>
          <w:u w:color="000000"/>
        </w:rPr>
      </w:pPr>
      <w:r w:rsidRPr="00040F71">
        <w:rPr>
          <w:rFonts w:eastAsia="Calibri"/>
          <w:sz w:val="24"/>
          <w:szCs w:val="24"/>
          <w:u w:color="000000"/>
        </w:rPr>
        <w:t>A determination of EMS response times to any location on the campus.</w:t>
      </w:r>
    </w:p>
    <w:p w14:paraId="27DBB14D" w14:textId="77777777" w:rsidR="00DF5B44" w:rsidRPr="00040F71" w:rsidRDefault="00DF5B44" w:rsidP="00DF5B44">
      <w:pPr>
        <w:tabs>
          <w:tab w:val="left" w:pos="360"/>
        </w:tabs>
        <w:spacing w:line="240" w:lineRule="exact"/>
        <w:ind w:left="360" w:hanging="360"/>
        <w:contextualSpacing/>
        <w:rPr>
          <w:rFonts w:eastAsia="Calibri"/>
          <w:sz w:val="24"/>
          <w:szCs w:val="24"/>
          <w:u w:color="000000"/>
        </w:rPr>
      </w:pPr>
    </w:p>
    <w:p w14:paraId="322D8D99" w14:textId="77777777" w:rsidR="00DF5B44" w:rsidRPr="00040F71" w:rsidRDefault="00DF5B44" w:rsidP="00DF5B44">
      <w:pPr>
        <w:widowControl w:val="0"/>
        <w:numPr>
          <w:ilvl w:val="0"/>
          <w:numId w:val="1"/>
        </w:numPr>
        <w:pBdr>
          <w:top w:val="nil"/>
          <w:left w:val="nil"/>
          <w:bottom w:val="nil"/>
          <w:right w:val="nil"/>
          <w:between w:val="nil"/>
          <w:bar w:val="nil"/>
        </w:pBdr>
        <w:tabs>
          <w:tab w:val="left" w:pos="360"/>
        </w:tabs>
        <w:spacing w:line="240" w:lineRule="exact"/>
        <w:ind w:left="360"/>
        <w:jc w:val="both"/>
        <w:rPr>
          <w:rFonts w:eastAsia="Calibri"/>
          <w:sz w:val="24"/>
          <w:szCs w:val="24"/>
          <w:u w:color="000000"/>
        </w:rPr>
      </w:pPr>
      <w:r w:rsidRPr="00040F71">
        <w:rPr>
          <w:rFonts w:eastAsia="Calibri"/>
          <w:sz w:val="24"/>
          <w:szCs w:val="24"/>
          <w:u w:color="000000"/>
        </w:rPr>
        <w:t xml:space="preserve">A list of relevant contacts with telephone numbers and a protocol indicating when each person shall be called, including names of experts to help with post-event support. </w:t>
      </w:r>
    </w:p>
    <w:p w14:paraId="189DEA05" w14:textId="77777777" w:rsidR="00DF5B44" w:rsidRPr="00040F71" w:rsidRDefault="00DF5B44" w:rsidP="00DF5B44">
      <w:pPr>
        <w:tabs>
          <w:tab w:val="left" w:pos="360"/>
        </w:tabs>
        <w:spacing w:line="240" w:lineRule="exact"/>
        <w:ind w:left="360" w:hanging="360"/>
        <w:contextualSpacing/>
        <w:rPr>
          <w:rFonts w:eastAsia="Calibri"/>
          <w:sz w:val="24"/>
          <w:szCs w:val="24"/>
          <w:u w:color="000000"/>
        </w:rPr>
      </w:pPr>
    </w:p>
    <w:p w14:paraId="7D278792" w14:textId="77777777" w:rsidR="00DF5B44" w:rsidRPr="00040F71" w:rsidRDefault="00DF5B44" w:rsidP="00DF5B44">
      <w:pPr>
        <w:widowControl w:val="0"/>
        <w:numPr>
          <w:ilvl w:val="0"/>
          <w:numId w:val="1"/>
        </w:numPr>
        <w:pBdr>
          <w:top w:val="nil"/>
          <w:left w:val="nil"/>
          <w:bottom w:val="nil"/>
          <w:right w:val="nil"/>
          <w:between w:val="nil"/>
          <w:bar w:val="nil"/>
        </w:pBdr>
        <w:tabs>
          <w:tab w:val="left" w:pos="360"/>
        </w:tabs>
        <w:spacing w:line="240" w:lineRule="exact"/>
        <w:ind w:left="360"/>
        <w:jc w:val="both"/>
        <w:rPr>
          <w:rFonts w:eastAsia="Calibri"/>
          <w:sz w:val="24"/>
          <w:szCs w:val="24"/>
          <w:u w:color="000000"/>
        </w:rPr>
      </w:pPr>
      <w:r w:rsidRPr="00040F71">
        <w:rPr>
          <w:rFonts w:eastAsia="Calibri"/>
          <w:sz w:val="24"/>
          <w:szCs w:val="24"/>
          <w:u w:color="000000"/>
        </w:rPr>
        <w:t>A method to efficiently direct EMS personnel to any location on campus, including the location of available rescue equipment.</w:t>
      </w:r>
    </w:p>
    <w:p w14:paraId="7088F05C" w14:textId="77777777" w:rsidR="00DF5B44" w:rsidRPr="00040F71" w:rsidRDefault="00DF5B44" w:rsidP="00DF5B44">
      <w:pPr>
        <w:tabs>
          <w:tab w:val="left" w:pos="360"/>
        </w:tabs>
        <w:spacing w:line="240" w:lineRule="exact"/>
        <w:ind w:left="360" w:hanging="360"/>
        <w:contextualSpacing/>
        <w:rPr>
          <w:rFonts w:eastAsia="Calibri"/>
          <w:sz w:val="24"/>
          <w:szCs w:val="24"/>
          <w:u w:color="000000"/>
        </w:rPr>
      </w:pPr>
    </w:p>
    <w:p w14:paraId="5079F13B" w14:textId="77777777" w:rsidR="00DF5B44" w:rsidRPr="00040F71" w:rsidRDefault="00DF5B44" w:rsidP="00DF5B44">
      <w:pPr>
        <w:widowControl w:val="0"/>
        <w:numPr>
          <w:ilvl w:val="0"/>
          <w:numId w:val="1"/>
        </w:numPr>
        <w:pBdr>
          <w:top w:val="nil"/>
          <w:left w:val="nil"/>
          <w:bottom w:val="nil"/>
          <w:right w:val="nil"/>
          <w:between w:val="nil"/>
          <w:bar w:val="nil"/>
        </w:pBdr>
        <w:tabs>
          <w:tab w:val="left" w:pos="360"/>
        </w:tabs>
        <w:spacing w:line="240" w:lineRule="exact"/>
        <w:ind w:left="360"/>
        <w:jc w:val="both"/>
        <w:rPr>
          <w:rFonts w:eastAsia="Calibri"/>
          <w:sz w:val="24"/>
          <w:szCs w:val="24"/>
          <w:u w:color="000000"/>
        </w:rPr>
      </w:pPr>
      <w:r w:rsidRPr="00040F71">
        <w:rPr>
          <w:rFonts w:eastAsia="Calibri"/>
          <w:sz w:val="24"/>
          <w:szCs w:val="24"/>
          <w:u w:color="000000"/>
        </w:rPr>
        <w:t>Safety precautions to prevent injuries in classrooms and on the school campus.</w:t>
      </w:r>
    </w:p>
    <w:p w14:paraId="71284F5B" w14:textId="77777777" w:rsidR="00DF5B44" w:rsidRPr="00040F71" w:rsidRDefault="00DF5B44" w:rsidP="00DF5B44">
      <w:pPr>
        <w:tabs>
          <w:tab w:val="left" w:pos="360"/>
        </w:tabs>
        <w:spacing w:line="240" w:lineRule="exact"/>
        <w:ind w:left="360" w:hanging="360"/>
        <w:contextualSpacing/>
        <w:rPr>
          <w:rFonts w:eastAsia="Calibri"/>
          <w:sz w:val="24"/>
          <w:szCs w:val="24"/>
          <w:u w:color="000000"/>
        </w:rPr>
      </w:pPr>
    </w:p>
    <w:p w14:paraId="3279379E" w14:textId="77777777" w:rsidR="00DF5B44" w:rsidRPr="00040F71" w:rsidRDefault="00DF5B44" w:rsidP="00DF5B44">
      <w:pPr>
        <w:widowControl w:val="0"/>
        <w:numPr>
          <w:ilvl w:val="0"/>
          <w:numId w:val="1"/>
        </w:numPr>
        <w:pBdr>
          <w:top w:val="nil"/>
          <w:left w:val="nil"/>
          <w:bottom w:val="nil"/>
          <w:right w:val="nil"/>
          <w:between w:val="nil"/>
          <w:bar w:val="nil"/>
        </w:pBdr>
        <w:tabs>
          <w:tab w:val="left" w:pos="360"/>
        </w:tabs>
        <w:spacing w:line="240" w:lineRule="exact"/>
        <w:ind w:left="360"/>
        <w:jc w:val="both"/>
        <w:rPr>
          <w:rFonts w:eastAsia="Calibri"/>
          <w:sz w:val="24"/>
          <w:szCs w:val="24"/>
          <w:u w:color="000000"/>
        </w:rPr>
      </w:pPr>
      <w:r w:rsidRPr="00040F71">
        <w:rPr>
          <w:rFonts w:eastAsia="Calibri"/>
          <w:sz w:val="24"/>
          <w:szCs w:val="24"/>
          <w:u w:color="000000"/>
        </w:rPr>
        <w:t xml:space="preserve">A method of providing access to training in CPR and first aid for teachers, athletic coaches, trainers, and other school staff which may include CPR training for High School </w:t>
      </w:r>
      <w:proofErr w:type="gramStart"/>
      <w:r w:rsidRPr="00040F71">
        <w:rPr>
          <w:rFonts w:eastAsia="Calibri"/>
          <w:sz w:val="24"/>
          <w:szCs w:val="24"/>
          <w:u w:color="000000"/>
        </w:rPr>
        <w:t>students;</w:t>
      </w:r>
      <w:proofErr w:type="gramEnd"/>
      <w:r w:rsidRPr="00040F71">
        <w:rPr>
          <w:rFonts w:eastAsia="Calibri"/>
          <w:sz w:val="24"/>
          <w:szCs w:val="24"/>
          <w:u w:color="000000"/>
        </w:rPr>
        <w:t xml:space="preserve"> provided that School Committees may opt out of instruction in CPR pursuant to Section 1 of Chapter 71.</w:t>
      </w:r>
    </w:p>
    <w:p w14:paraId="6F576F0E" w14:textId="77777777" w:rsidR="00DF5B44" w:rsidRPr="00040F71" w:rsidRDefault="00DF5B44" w:rsidP="00DF5B44">
      <w:pPr>
        <w:tabs>
          <w:tab w:val="left" w:pos="360"/>
        </w:tabs>
        <w:spacing w:line="240" w:lineRule="exact"/>
        <w:ind w:left="360" w:hanging="360"/>
        <w:contextualSpacing/>
        <w:rPr>
          <w:rFonts w:eastAsia="Calibri"/>
          <w:sz w:val="24"/>
          <w:szCs w:val="24"/>
          <w:u w:color="000000"/>
        </w:rPr>
      </w:pPr>
    </w:p>
    <w:p w14:paraId="084C50F1" w14:textId="77777777" w:rsidR="00DF5B44" w:rsidRPr="00040F71" w:rsidRDefault="00DF5B44" w:rsidP="00DF5B44">
      <w:pPr>
        <w:widowControl w:val="0"/>
        <w:numPr>
          <w:ilvl w:val="0"/>
          <w:numId w:val="1"/>
        </w:numPr>
        <w:pBdr>
          <w:top w:val="nil"/>
          <w:left w:val="nil"/>
          <w:bottom w:val="nil"/>
          <w:right w:val="nil"/>
          <w:between w:val="nil"/>
          <w:bar w:val="nil"/>
        </w:pBdr>
        <w:tabs>
          <w:tab w:val="left" w:pos="360"/>
        </w:tabs>
        <w:spacing w:line="240" w:lineRule="exact"/>
        <w:ind w:left="360"/>
        <w:jc w:val="both"/>
        <w:rPr>
          <w:rFonts w:eastAsia="Calibri"/>
          <w:sz w:val="24"/>
          <w:szCs w:val="24"/>
          <w:u w:color="000000"/>
        </w:rPr>
      </w:pPr>
      <w:r>
        <w:rPr>
          <w:rFonts w:eastAsia="Calibri"/>
          <w:sz w:val="24"/>
          <w:szCs w:val="24"/>
          <w:u w:color="000000"/>
        </w:rPr>
        <w:t>The</w:t>
      </w:r>
      <w:r w:rsidRPr="00040F71">
        <w:rPr>
          <w:rFonts w:eastAsia="Calibri"/>
          <w:sz w:val="24"/>
          <w:szCs w:val="24"/>
          <w:u w:color="000000"/>
        </w:rPr>
        <w:t xml:space="preserve"> location of all available </w:t>
      </w:r>
      <w:r>
        <w:rPr>
          <w:rFonts w:eastAsia="Calibri"/>
          <w:sz w:val="24"/>
          <w:szCs w:val="24"/>
          <w:u w:color="000000"/>
        </w:rPr>
        <w:t>Automated External Defibrillators (</w:t>
      </w:r>
      <w:r w:rsidRPr="00040F71">
        <w:rPr>
          <w:rFonts w:eastAsia="Calibri"/>
          <w:sz w:val="24"/>
          <w:szCs w:val="24"/>
          <w:u w:color="000000"/>
        </w:rPr>
        <w:t>AEDs</w:t>
      </w:r>
      <w:r>
        <w:rPr>
          <w:rFonts w:eastAsia="Calibri"/>
          <w:sz w:val="24"/>
          <w:szCs w:val="24"/>
          <w:u w:color="000000"/>
        </w:rPr>
        <w:t>)</w:t>
      </w:r>
      <w:r w:rsidRPr="00040F71">
        <w:rPr>
          <w:rFonts w:eastAsia="Calibri"/>
          <w:sz w:val="24"/>
          <w:szCs w:val="24"/>
          <w:u w:color="000000"/>
        </w:rPr>
        <w:t xml:space="preserve">, whether the location is fixed or portable, and a list of personnel trained in its use. </w:t>
      </w:r>
    </w:p>
    <w:p w14:paraId="72C9F3E8" w14:textId="77777777" w:rsidR="00DF5B44" w:rsidRPr="00040F71" w:rsidRDefault="00DF5B44" w:rsidP="00DF5B44">
      <w:pPr>
        <w:widowControl w:val="0"/>
        <w:spacing w:line="240" w:lineRule="exact"/>
        <w:jc w:val="both"/>
        <w:rPr>
          <w:rFonts w:eastAsia="Calibri"/>
          <w:sz w:val="24"/>
          <w:szCs w:val="24"/>
          <w:u w:color="000000"/>
        </w:rPr>
      </w:pPr>
    </w:p>
    <w:p w14:paraId="489EFAA0" w14:textId="77777777" w:rsidR="00DF5B44" w:rsidRPr="00040F71" w:rsidRDefault="00DF5B44" w:rsidP="00DF5B44">
      <w:pPr>
        <w:widowControl w:val="0"/>
        <w:spacing w:line="240" w:lineRule="exact"/>
        <w:jc w:val="both"/>
        <w:rPr>
          <w:rFonts w:eastAsia="Calibri"/>
          <w:sz w:val="24"/>
          <w:szCs w:val="24"/>
          <w:u w:color="000000"/>
        </w:rPr>
      </w:pPr>
      <w:r w:rsidRPr="00040F71">
        <w:rPr>
          <w:rFonts w:eastAsia="Calibri"/>
          <w:sz w:val="24"/>
          <w:szCs w:val="24"/>
          <w:u w:color="000000"/>
        </w:rPr>
        <w:t xml:space="preserve">The Superintendent shall annually review the response sequence with local police and fire officials.  Plans shall be submitted to local police and fire officials and the DESE at least every 3 years by September 1 or when changes occur. Plans must be updated in the case of new construction or other physical changes to the school campus. </w:t>
      </w:r>
    </w:p>
    <w:p w14:paraId="1601A2F8" w14:textId="77777777" w:rsidR="00DF5B44" w:rsidRPr="00040F71" w:rsidRDefault="00DF5B44" w:rsidP="00DF5B44">
      <w:pPr>
        <w:widowControl w:val="0"/>
        <w:spacing w:line="240" w:lineRule="exact"/>
        <w:jc w:val="both"/>
        <w:rPr>
          <w:rFonts w:eastAsia="Calibri"/>
          <w:sz w:val="24"/>
          <w:szCs w:val="24"/>
          <w:u w:color="000000"/>
        </w:rPr>
      </w:pPr>
    </w:p>
    <w:p w14:paraId="57D5CB93" w14:textId="77777777" w:rsidR="00DF5B44" w:rsidRPr="00040F71" w:rsidRDefault="00DF5B44" w:rsidP="00DF5B44">
      <w:pPr>
        <w:widowControl w:val="0"/>
        <w:spacing w:line="240" w:lineRule="exact"/>
        <w:jc w:val="both"/>
        <w:rPr>
          <w:rFonts w:eastAsia="Calibri"/>
          <w:sz w:val="24"/>
          <w:szCs w:val="24"/>
          <w:u w:color="000000"/>
        </w:rPr>
      </w:pPr>
      <w:r w:rsidRPr="00040F71">
        <w:rPr>
          <w:rFonts w:eastAsia="Calibri"/>
          <w:sz w:val="24"/>
          <w:szCs w:val="24"/>
          <w:u w:color="000000"/>
        </w:rPr>
        <w:t>Building Principals will meet all requirements for conducting fire drills and Emergency Response drills (at least once per year) to give students practice in moving with orderly dispatch to designated areas under emergency conditions, and the staff practice in carrying out their assigned responsibilities for building evacua</w:t>
      </w:r>
      <w:r w:rsidRPr="00040F71">
        <w:rPr>
          <w:rFonts w:eastAsia="Calibri"/>
          <w:sz w:val="24"/>
          <w:szCs w:val="24"/>
          <w:u w:color="000000"/>
        </w:rPr>
        <w:softHyphen/>
        <w:t xml:space="preserve">tion. </w:t>
      </w:r>
    </w:p>
    <w:p w14:paraId="3FEFAB2E" w14:textId="77777777" w:rsidR="00DF5B44" w:rsidRPr="00040F71" w:rsidRDefault="00DF5B44" w:rsidP="00DF5B44">
      <w:pPr>
        <w:widowControl w:val="0"/>
        <w:spacing w:line="240" w:lineRule="exact"/>
        <w:jc w:val="both"/>
        <w:rPr>
          <w:rFonts w:eastAsia="Calibri"/>
          <w:sz w:val="24"/>
          <w:szCs w:val="24"/>
          <w:u w:color="000000"/>
        </w:rPr>
      </w:pPr>
    </w:p>
    <w:p w14:paraId="6886E950" w14:textId="77777777" w:rsidR="00DF5B44" w:rsidRPr="00040F71" w:rsidRDefault="00DF5B44" w:rsidP="00DF5B44">
      <w:pPr>
        <w:widowControl w:val="0"/>
        <w:spacing w:line="240" w:lineRule="exact"/>
        <w:jc w:val="both"/>
        <w:rPr>
          <w:rFonts w:eastAsia="Calibri"/>
          <w:sz w:val="24"/>
          <w:szCs w:val="24"/>
          <w:u w:color="000000"/>
        </w:rPr>
      </w:pPr>
      <w:r w:rsidRPr="00040F71">
        <w:rPr>
          <w:rFonts w:eastAsia="Calibri"/>
          <w:sz w:val="24"/>
          <w:szCs w:val="24"/>
          <w:u w:color="000000"/>
        </w:rPr>
        <w:t xml:space="preserve">SOURCE: </w:t>
      </w:r>
      <w:proofErr w:type="gramStart"/>
      <w:r w:rsidRPr="00040F71">
        <w:rPr>
          <w:rFonts w:eastAsia="Calibri"/>
          <w:sz w:val="24"/>
          <w:szCs w:val="24"/>
          <w:u w:color="000000"/>
        </w:rPr>
        <w:t xml:space="preserve">MASC  </w:t>
      </w:r>
      <w:r>
        <w:rPr>
          <w:rFonts w:eastAsia="Calibri"/>
          <w:sz w:val="24"/>
          <w:szCs w:val="24"/>
          <w:u w:color="000000"/>
        </w:rPr>
        <w:t>-</w:t>
      </w:r>
      <w:proofErr w:type="gramEnd"/>
      <w:r>
        <w:rPr>
          <w:rFonts w:eastAsia="Calibri"/>
          <w:sz w:val="24"/>
          <w:szCs w:val="24"/>
          <w:u w:color="000000"/>
        </w:rPr>
        <w:t xml:space="preserve"> Updated 2022</w:t>
      </w:r>
    </w:p>
    <w:p w14:paraId="1AB18798" w14:textId="77777777" w:rsidR="00DF5B44" w:rsidRPr="00040F71" w:rsidRDefault="00DF5B44" w:rsidP="00DF5B44">
      <w:pPr>
        <w:widowControl w:val="0"/>
        <w:spacing w:line="240" w:lineRule="exact"/>
        <w:jc w:val="both"/>
        <w:rPr>
          <w:rFonts w:eastAsia="Calibri"/>
          <w:sz w:val="24"/>
          <w:szCs w:val="24"/>
          <w:u w:color="000000"/>
        </w:rPr>
      </w:pPr>
    </w:p>
    <w:p w14:paraId="27AB8A6B" w14:textId="77777777" w:rsidR="00DF5B44" w:rsidRPr="00040F71" w:rsidRDefault="00DF5B44" w:rsidP="00DF5B44">
      <w:pPr>
        <w:widowControl w:val="0"/>
        <w:spacing w:line="240" w:lineRule="exact"/>
        <w:jc w:val="both"/>
        <w:rPr>
          <w:rFonts w:eastAsia="Calibri"/>
          <w:sz w:val="24"/>
          <w:szCs w:val="24"/>
          <w:u w:color="000000"/>
        </w:rPr>
      </w:pPr>
      <w:r w:rsidRPr="00040F71">
        <w:rPr>
          <w:rFonts w:eastAsia="Calibri"/>
          <w:sz w:val="24"/>
          <w:szCs w:val="24"/>
          <w:u w:color="000000"/>
        </w:rPr>
        <w:t xml:space="preserve">LEGAL REF: </w:t>
      </w:r>
      <w:r w:rsidRPr="00040F71">
        <w:rPr>
          <w:rFonts w:eastAsia="Calibri"/>
          <w:sz w:val="24"/>
          <w:szCs w:val="24"/>
          <w:u w:color="000000"/>
        </w:rPr>
        <w:tab/>
      </w:r>
      <w:r w:rsidRPr="00040F71">
        <w:rPr>
          <w:rFonts w:eastAsia="Calibri"/>
          <w:sz w:val="24"/>
          <w:szCs w:val="24"/>
          <w:u w:color="000000"/>
        </w:rPr>
        <w:tab/>
        <w:t xml:space="preserve">M.G.L. 69:8A </w:t>
      </w:r>
    </w:p>
    <w:p w14:paraId="7AE9E72F" w14:textId="77777777" w:rsidR="00DF5B44" w:rsidRPr="00040F71" w:rsidRDefault="00DF5B44" w:rsidP="00DF5B44">
      <w:pPr>
        <w:widowControl w:val="0"/>
        <w:spacing w:line="240" w:lineRule="exact"/>
        <w:ind w:left="1440" w:firstLine="720"/>
        <w:jc w:val="both"/>
        <w:rPr>
          <w:rFonts w:eastAsia="Calibri"/>
          <w:sz w:val="24"/>
          <w:szCs w:val="24"/>
          <w:u w:color="000000"/>
        </w:rPr>
      </w:pPr>
      <w:r w:rsidRPr="00040F71">
        <w:rPr>
          <w:rFonts w:eastAsia="Calibri"/>
          <w:sz w:val="24"/>
          <w:szCs w:val="24"/>
          <w:u w:color="000000"/>
        </w:rPr>
        <w:t>Section 363 of Chapter 159 of the Acts of 2000</w:t>
      </w:r>
    </w:p>
    <w:p w14:paraId="7A56FEBD" w14:textId="77777777" w:rsidR="00DF5B44" w:rsidRPr="00040F71" w:rsidRDefault="00DF5B44" w:rsidP="00DF5B44">
      <w:pPr>
        <w:widowControl w:val="0"/>
        <w:spacing w:line="240" w:lineRule="exact"/>
        <w:ind w:left="1440" w:firstLine="720"/>
        <w:jc w:val="both"/>
        <w:rPr>
          <w:rFonts w:eastAsia="Calibri"/>
          <w:sz w:val="24"/>
          <w:szCs w:val="24"/>
          <w:u w:color="000000"/>
        </w:rPr>
      </w:pPr>
    </w:p>
    <w:p w14:paraId="7677A4D9" w14:textId="77777777" w:rsidR="00DF5B44" w:rsidRPr="00040F71" w:rsidRDefault="00DF5B44" w:rsidP="00DF5B44">
      <w:pPr>
        <w:widowControl w:val="0"/>
        <w:spacing w:line="240" w:lineRule="exact"/>
        <w:ind w:right="-720"/>
        <w:jc w:val="both"/>
        <w:rPr>
          <w:rFonts w:eastAsia="Calibri"/>
          <w:sz w:val="24"/>
          <w:szCs w:val="24"/>
          <w:u w:color="000000"/>
        </w:rPr>
      </w:pPr>
      <w:r w:rsidRPr="00040F71">
        <w:rPr>
          <w:rFonts w:eastAsia="Calibri"/>
          <w:sz w:val="24"/>
          <w:szCs w:val="24"/>
          <w:u w:color="000000"/>
        </w:rPr>
        <w:t xml:space="preserve">CROSS REF.: </w:t>
      </w:r>
      <w:r w:rsidRPr="00040F71">
        <w:rPr>
          <w:rFonts w:eastAsia="Calibri"/>
          <w:sz w:val="24"/>
          <w:szCs w:val="24"/>
          <w:u w:color="000000"/>
        </w:rPr>
        <w:tab/>
        <w:t>EBCD, Emergency Closings</w:t>
      </w:r>
    </w:p>
    <w:p w14:paraId="66FC1356" w14:textId="77777777" w:rsidR="00DF5B44" w:rsidRPr="00040F71" w:rsidRDefault="00DF5B44" w:rsidP="00DF5B44">
      <w:pPr>
        <w:widowControl w:val="0"/>
        <w:spacing w:line="240" w:lineRule="exact"/>
        <w:ind w:right="-720"/>
        <w:jc w:val="both"/>
        <w:rPr>
          <w:rFonts w:eastAsia="Calibri"/>
          <w:sz w:val="24"/>
          <w:szCs w:val="24"/>
          <w:u w:color="000000"/>
        </w:rPr>
      </w:pPr>
      <w:r w:rsidRPr="00040F71">
        <w:rPr>
          <w:rFonts w:eastAsia="Calibri"/>
          <w:sz w:val="24"/>
          <w:szCs w:val="24"/>
          <w:u w:color="000000"/>
        </w:rPr>
        <w:tab/>
      </w:r>
      <w:r w:rsidRPr="00040F71">
        <w:rPr>
          <w:rFonts w:eastAsia="Calibri"/>
          <w:sz w:val="24"/>
          <w:szCs w:val="24"/>
          <w:u w:color="000000"/>
        </w:rPr>
        <w:tab/>
      </w:r>
      <w:r w:rsidRPr="00040F71">
        <w:rPr>
          <w:rFonts w:eastAsia="Calibri"/>
          <w:sz w:val="24"/>
          <w:szCs w:val="24"/>
          <w:u w:color="000000"/>
        </w:rPr>
        <w:tab/>
        <w:t>JL, Student Welfare</w:t>
      </w:r>
    </w:p>
    <w:p w14:paraId="6F7EC9D8" w14:textId="77777777" w:rsidR="00DF5B44" w:rsidRPr="00040F71" w:rsidRDefault="00DF5B44" w:rsidP="00DF5B44">
      <w:pPr>
        <w:widowControl w:val="0"/>
        <w:spacing w:line="240" w:lineRule="exact"/>
        <w:ind w:right="-720"/>
        <w:jc w:val="both"/>
        <w:rPr>
          <w:rFonts w:eastAsia="Calibri"/>
          <w:sz w:val="24"/>
          <w:szCs w:val="24"/>
          <w:u w:color="000000"/>
        </w:rPr>
      </w:pPr>
      <w:r w:rsidRPr="00040F71">
        <w:rPr>
          <w:rFonts w:eastAsia="Calibri"/>
          <w:sz w:val="24"/>
          <w:szCs w:val="24"/>
          <w:u w:color="000000"/>
        </w:rPr>
        <w:tab/>
      </w:r>
      <w:r w:rsidRPr="00040F71">
        <w:rPr>
          <w:rFonts w:eastAsia="Calibri"/>
          <w:sz w:val="24"/>
          <w:szCs w:val="24"/>
          <w:u w:color="000000"/>
        </w:rPr>
        <w:tab/>
      </w:r>
      <w:r w:rsidRPr="00040F71">
        <w:rPr>
          <w:rFonts w:eastAsia="Calibri"/>
          <w:sz w:val="24"/>
          <w:szCs w:val="24"/>
          <w:u w:color="000000"/>
        </w:rPr>
        <w:tab/>
        <w:t>JLC, Student Health Services and Requirements</w:t>
      </w:r>
    </w:p>
    <w:p w14:paraId="3F063CA7" w14:textId="77777777" w:rsidR="0096405E" w:rsidRDefault="0096405E"/>
    <w:sectPr w:rsidR="0096405E" w:rsidSect="00DF5B44">
      <w:pgSz w:w="12240" w:h="15840"/>
      <w:pgMar w:top="144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95851"/>
    <w:multiLevelType w:val="hybridMultilevel"/>
    <w:tmpl w:val="8E6C6044"/>
    <w:lvl w:ilvl="0" w:tplc="27A663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46628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B44"/>
    <w:rsid w:val="0096405E"/>
    <w:rsid w:val="00DF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32A7"/>
  <w15:chartTrackingRefBased/>
  <w15:docId w15:val="{48B9418E-882F-4F30-B1AD-0AF1CDE4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B4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1</cp:revision>
  <dcterms:created xsi:type="dcterms:W3CDTF">2022-08-22T18:29:00Z</dcterms:created>
  <dcterms:modified xsi:type="dcterms:W3CDTF">2022-08-22T18:30:00Z</dcterms:modified>
</cp:coreProperties>
</file>