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2CC5" w14:textId="77777777" w:rsidR="00951BEB" w:rsidRPr="00EB37BA" w:rsidRDefault="00951BEB" w:rsidP="00951BEB">
      <w:pPr>
        <w:jc w:val="right"/>
        <w:rPr>
          <w:sz w:val="24"/>
          <w:szCs w:val="24"/>
        </w:rPr>
      </w:pPr>
      <w:r w:rsidRPr="00EB37BA">
        <w:rPr>
          <w:sz w:val="24"/>
          <w:szCs w:val="24"/>
          <w:u w:val="single"/>
        </w:rPr>
        <w:t>File:</w:t>
      </w:r>
      <w:r w:rsidRPr="00EB37BA">
        <w:rPr>
          <w:sz w:val="24"/>
          <w:szCs w:val="24"/>
        </w:rPr>
        <w:t xml:space="preserve"> JICK</w:t>
      </w:r>
    </w:p>
    <w:p w14:paraId="0006824C" w14:textId="77777777" w:rsidR="00951BEB" w:rsidRPr="00EB37BA" w:rsidRDefault="00951BEB" w:rsidP="00951BEB">
      <w:pPr>
        <w:jc w:val="both"/>
        <w:rPr>
          <w:sz w:val="24"/>
          <w:szCs w:val="24"/>
        </w:rPr>
      </w:pPr>
    </w:p>
    <w:p w14:paraId="14C1537C" w14:textId="77777777" w:rsidR="00951BEB" w:rsidRPr="00EB37BA" w:rsidRDefault="00951BEB" w:rsidP="00951BEB">
      <w:pPr>
        <w:keepNext/>
        <w:widowControl w:val="0"/>
        <w:spacing w:line="240" w:lineRule="exact"/>
        <w:jc w:val="center"/>
        <w:outlineLvl w:val="0"/>
        <w:rPr>
          <w:b/>
          <w:sz w:val="24"/>
          <w:szCs w:val="24"/>
        </w:rPr>
      </w:pPr>
      <w:r w:rsidRPr="00EB37BA">
        <w:rPr>
          <w:b/>
          <w:sz w:val="24"/>
          <w:szCs w:val="24"/>
        </w:rPr>
        <w:t>HARASSMENT OF STUDENTS</w:t>
      </w:r>
    </w:p>
    <w:p w14:paraId="57AC8687" w14:textId="77777777" w:rsidR="00951BEB" w:rsidRPr="00EB37BA" w:rsidRDefault="00951BEB" w:rsidP="00951BEB">
      <w:pPr>
        <w:jc w:val="both"/>
        <w:rPr>
          <w:sz w:val="24"/>
          <w:szCs w:val="24"/>
        </w:rPr>
      </w:pPr>
    </w:p>
    <w:p w14:paraId="10B1BF4F" w14:textId="77777777" w:rsidR="00951BEB" w:rsidRPr="00EB37BA" w:rsidRDefault="00951BEB" w:rsidP="00951BEB">
      <w:pPr>
        <w:spacing w:line="240" w:lineRule="exact"/>
        <w:jc w:val="both"/>
        <w:rPr>
          <w:sz w:val="24"/>
          <w:szCs w:val="24"/>
        </w:rPr>
      </w:pPr>
    </w:p>
    <w:p w14:paraId="0E04E7EF" w14:textId="77777777" w:rsidR="00951BEB" w:rsidRPr="00EB37BA" w:rsidRDefault="00951BEB" w:rsidP="00951BEB">
      <w:pPr>
        <w:spacing w:line="240" w:lineRule="exact"/>
        <w:jc w:val="both"/>
        <w:rPr>
          <w:sz w:val="24"/>
          <w:szCs w:val="24"/>
        </w:rPr>
      </w:pPr>
      <w:r w:rsidRPr="00EB37BA">
        <w:rPr>
          <w:sz w:val="24"/>
          <w:szCs w:val="24"/>
        </w:rPr>
        <w:t xml:space="preserve">Harassment of students by other students, employees, vendors and other third parties will not be tolerated in the </w:t>
      </w:r>
      <w:r w:rsidRPr="00EB37BA">
        <w:rPr>
          <w:b/>
          <w:sz w:val="24"/>
          <w:szCs w:val="24"/>
          <w:u w:val="single"/>
        </w:rPr>
        <w:t>(Name of District)</w:t>
      </w:r>
      <w:r w:rsidRPr="00EB37BA">
        <w:rPr>
          <w:sz w:val="24"/>
          <w:szCs w:val="24"/>
        </w:rPr>
        <w:t xml:space="preserve"> Public Schools. The alleged harassment must involve conduct that occurred within the school’s own program or activity, such as whether the harassment occurred at a location or under circumstances where the school owned, or substantially controlled the premises, exercised oversight, supervision or discipline over the location or participants, or funded, sponsored, </w:t>
      </w:r>
      <w:proofErr w:type="gramStart"/>
      <w:r w:rsidRPr="00EB37BA">
        <w:rPr>
          <w:sz w:val="24"/>
          <w:szCs w:val="24"/>
        </w:rPr>
        <w:t>promoted</w:t>
      </w:r>
      <w:proofErr w:type="gramEnd"/>
      <w:r w:rsidRPr="00EB37BA">
        <w:rPr>
          <w:sz w:val="24"/>
          <w:szCs w:val="24"/>
        </w:rPr>
        <w:t xml:space="preserve"> or endorsed the event where the alleged harassment occurred, against a person in the United States.</w:t>
      </w:r>
      <w:r w:rsidRPr="00EB37BA">
        <w:rPr>
          <w:sz w:val="24"/>
          <w:szCs w:val="24"/>
          <w:u w:val="single"/>
        </w:rPr>
        <w:t xml:space="preserve"> </w:t>
      </w:r>
      <w:r w:rsidRPr="00EB37BA">
        <w:rPr>
          <w:sz w:val="24"/>
          <w:szCs w:val="24"/>
        </w:rPr>
        <w:t xml:space="preserve"> This policy is in effect while students are on school grounds, School District property or property within the jurisdiction of the School District, school buses, or attending or engaging in school sponsored activities.</w:t>
      </w:r>
    </w:p>
    <w:p w14:paraId="6D427212" w14:textId="77777777" w:rsidR="00951BEB" w:rsidRPr="00EB37BA" w:rsidRDefault="00951BEB" w:rsidP="00951BEB">
      <w:pPr>
        <w:spacing w:line="240" w:lineRule="exact"/>
        <w:jc w:val="both"/>
        <w:rPr>
          <w:sz w:val="24"/>
          <w:szCs w:val="24"/>
        </w:rPr>
      </w:pPr>
    </w:p>
    <w:p w14:paraId="291F09DC" w14:textId="5CFC232F" w:rsidR="00951BEB" w:rsidRPr="00EB37BA" w:rsidRDefault="00951BEB" w:rsidP="00951BEB">
      <w:pPr>
        <w:spacing w:line="240" w:lineRule="exact"/>
        <w:jc w:val="both"/>
        <w:rPr>
          <w:sz w:val="24"/>
          <w:szCs w:val="24"/>
        </w:rPr>
      </w:pPr>
      <w:r w:rsidRPr="00EB37BA">
        <w:rPr>
          <w:sz w:val="24"/>
          <w:szCs w:val="24"/>
        </w:rPr>
        <w:t xml:space="preserve">Harassment prohibited by the </w:t>
      </w:r>
      <w:proofErr w:type="gramStart"/>
      <w:r w:rsidRPr="00EB37BA">
        <w:rPr>
          <w:sz w:val="24"/>
          <w:szCs w:val="24"/>
        </w:rPr>
        <w:t>District</w:t>
      </w:r>
      <w:proofErr w:type="gramEnd"/>
      <w:r w:rsidRPr="00EB37BA">
        <w:rPr>
          <w:sz w:val="24"/>
          <w:szCs w:val="24"/>
        </w:rPr>
        <w:t xml:space="preserve"> includes, but is not limited to, harassment on the basis </w:t>
      </w:r>
      <w:r w:rsidRPr="00EB37BA">
        <w:rPr>
          <w:rFonts w:eastAsia="Calibri"/>
          <w:sz w:val="24"/>
          <w:szCs w:val="24"/>
        </w:rPr>
        <w:t>race</w:t>
      </w:r>
      <w:r w:rsidR="00AF7B5F">
        <w:rPr>
          <w:rFonts w:eastAsia="Calibri"/>
          <w:sz w:val="24"/>
          <w:szCs w:val="24"/>
        </w:rPr>
        <w:t>*</w:t>
      </w:r>
      <w:r w:rsidRPr="00EB37BA">
        <w:rPr>
          <w:rFonts w:eastAsia="Calibri"/>
          <w:sz w:val="24"/>
          <w:szCs w:val="24"/>
        </w:rPr>
        <w:t xml:space="preserve">, color, sex, sexual orientation, gender identity, religion, disability, age, </w:t>
      </w:r>
      <w:r w:rsidR="00AF7B5F" w:rsidRPr="00EB37BA">
        <w:rPr>
          <w:rFonts w:eastAsia="Calibri"/>
          <w:sz w:val="24"/>
          <w:szCs w:val="24"/>
        </w:rPr>
        <w:t>genetic information</w:t>
      </w:r>
      <w:r w:rsidRPr="00EB37BA">
        <w:rPr>
          <w:rFonts w:eastAsia="Calibri"/>
          <w:sz w:val="24"/>
          <w:szCs w:val="24"/>
        </w:rPr>
        <w:t xml:space="preserve">, active military/veteran status, marital status, familial status, pregnancy, or pregnancy-related condition, homelessness, ancestry, ethnic background, national origin, or any other category protected by state or federal law. </w:t>
      </w:r>
      <w:r w:rsidRPr="00EB37BA">
        <w:rPr>
          <w:sz w:val="24"/>
          <w:szCs w:val="24"/>
        </w:rPr>
        <w:t xml:space="preserve">Students whose behavior is found to be in violation of this policy will be subject to disciplinary action up to and including suspension or expulsion pursuant to disciplinary codes. Employees who have been found to violate this policy will be subject to discipline up to and including, termination of employment, subject to contractual disciplinary obligations. </w:t>
      </w:r>
    </w:p>
    <w:p w14:paraId="26CA175D" w14:textId="77777777" w:rsidR="00951BEB" w:rsidRPr="00EB37BA" w:rsidRDefault="00951BEB" w:rsidP="00951BEB">
      <w:pPr>
        <w:spacing w:line="240" w:lineRule="exact"/>
        <w:jc w:val="both"/>
        <w:rPr>
          <w:sz w:val="24"/>
          <w:szCs w:val="24"/>
        </w:rPr>
      </w:pPr>
    </w:p>
    <w:p w14:paraId="31EF077A" w14:textId="77777777" w:rsidR="00951BEB" w:rsidRPr="00EB37BA" w:rsidRDefault="00951BEB" w:rsidP="00951BEB">
      <w:pPr>
        <w:spacing w:line="240" w:lineRule="exact"/>
        <w:jc w:val="both"/>
        <w:rPr>
          <w:sz w:val="24"/>
          <w:szCs w:val="24"/>
        </w:rPr>
      </w:pPr>
      <w:r w:rsidRPr="00EB37BA">
        <w:rPr>
          <w:b/>
          <w:sz w:val="24"/>
          <w:szCs w:val="24"/>
        </w:rPr>
        <w:t xml:space="preserve">Employee-to-Student Harassment </w:t>
      </w:r>
      <w:r w:rsidRPr="00EB37BA">
        <w:rPr>
          <w:sz w:val="24"/>
          <w:szCs w:val="24"/>
        </w:rPr>
        <w:t xml:space="preserve">means conduct of a written, </w:t>
      </w:r>
      <w:proofErr w:type="gramStart"/>
      <w:r w:rsidRPr="00EB37BA">
        <w:rPr>
          <w:sz w:val="24"/>
          <w:szCs w:val="24"/>
        </w:rPr>
        <w:t>verbal</w:t>
      </w:r>
      <w:proofErr w:type="gramEnd"/>
      <w:r w:rsidRPr="00EB37BA">
        <w:rPr>
          <w:sz w:val="24"/>
          <w:szCs w:val="24"/>
        </w:rPr>
        <w:t xml:space="preserve"> or physical nature that is designed to embarrass distress, agitate, disturb or trouble students when:</w:t>
      </w:r>
    </w:p>
    <w:p w14:paraId="39FEB21B" w14:textId="77777777" w:rsidR="00951BEB" w:rsidRPr="00EB37BA" w:rsidRDefault="00951BEB" w:rsidP="00951BEB">
      <w:pPr>
        <w:spacing w:line="240" w:lineRule="exact"/>
        <w:jc w:val="both"/>
        <w:rPr>
          <w:sz w:val="24"/>
          <w:szCs w:val="24"/>
        </w:rPr>
      </w:pPr>
    </w:p>
    <w:p w14:paraId="7B038707" w14:textId="77777777" w:rsidR="00951BEB" w:rsidRPr="00EB37BA" w:rsidRDefault="00951BEB" w:rsidP="00951BEB">
      <w:pPr>
        <w:numPr>
          <w:ilvl w:val="0"/>
          <w:numId w:val="21"/>
        </w:numPr>
        <w:spacing w:line="240" w:lineRule="exact"/>
        <w:jc w:val="both"/>
        <w:rPr>
          <w:sz w:val="24"/>
          <w:szCs w:val="24"/>
        </w:rPr>
      </w:pPr>
      <w:r w:rsidRPr="00EB37BA">
        <w:rPr>
          <w:sz w:val="24"/>
          <w:szCs w:val="24"/>
        </w:rPr>
        <w:t>Submission to such conduct is made either explicitly or implicitly a term or condition of a student’s education or of a student’s participation in school programs or activities; or</w:t>
      </w:r>
    </w:p>
    <w:p w14:paraId="516013D9" w14:textId="77777777" w:rsidR="00951BEB" w:rsidRPr="00EB37BA" w:rsidRDefault="00951BEB" w:rsidP="00951BEB">
      <w:pPr>
        <w:numPr>
          <w:ilvl w:val="0"/>
          <w:numId w:val="21"/>
        </w:numPr>
        <w:spacing w:line="240" w:lineRule="exact"/>
        <w:jc w:val="both"/>
        <w:rPr>
          <w:sz w:val="24"/>
          <w:szCs w:val="24"/>
        </w:rPr>
      </w:pPr>
      <w:r w:rsidRPr="00EB37BA">
        <w:rPr>
          <w:sz w:val="24"/>
          <w:szCs w:val="24"/>
        </w:rPr>
        <w:t>Submission to or rejection of such conduct by a student is used as the basis for decisions affecting the student.</w:t>
      </w:r>
    </w:p>
    <w:p w14:paraId="6DE652DB" w14:textId="77777777" w:rsidR="00951BEB" w:rsidRPr="00EB37BA" w:rsidRDefault="00951BEB" w:rsidP="00951BEB">
      <w:pPr>
        <w:spacing w:line="240" w:lineRule="exact"/>
        <w:jc w:val="both"/>
        <w:rPr>
          <w:sz w:val="24"/>
          <w:szCs w:val="24"/>
        </w:rPr>
      </w:pPr>
    </w:p>
    <w:p w14:paraId="38059265" w14:textId="77777777" w:rsidR="00951BEB" w:rsidRPr="00EB37BA" w:rsidRDefault="00951BEB" w:rsidP="00951BEB">
      <w:pPr>
        <w:spacing w:line="240" w:lineRule="exact"/>
        <w:jc w:val="both"/>
        <w:rPr>
          <w:sz w:val="24"/>
          <w:szCs w:val="24"/>
        </w:rPr>
      </w:pPr>
      <w:r w:rsidRPr="00EB37BA">
        <w:rPr>
          <w:b/>
          <w:sz w:val="24"/>
          <w:szCs w:val="24"/>
        </w:rPr>
        <w:t>Student- to-Student Harassment</w:t>
      </w:r>
      <w:r w:rsidRPr="00EB37BA">
        <w:rPr>
          <w:sz w:val="24"/>
          <w:szCs w:val="24"/>
        </w:rPr>
        <w:t xml:space="preserve"> means conduct of a written, verbal, or physical nature that is designed to embarrass, distress, agitate, </w:t>
      </w:r>
      <w:proofErr w:type="gramStart"/>
      <w:r w:rsidRPr="00EB37BA">
        <w:rPr>
          <w:sz w:val="24"/>
          <w:szCs w:val="24"/>
        </w:rPr>
        <w:t>disturb</w:t>
      </w:r>
      <w:proofErr w:type="gramEnd"/>
      <w:r w:rsidRPr="00EB37BA">
        <w:rPr>
          <w:sz w:val="24"/>
          <w:szCs w:val="24"/>
        </w:rPr>
        <w:t xml:space="preserve"> or trouble students, when:</w:t>
      </w:r>
    </w:p>
    <w:p w14:paraId="48CE09D4" w14:textId="77777777" w:rsidR="00951BEB" w:rsidRPr="00EB37BA" w:rsidRDefault="00951BEB" w:rsidP="00951BEB">
      <w:pPr>
        <w:spacing w:line="240" w:lineRule="exact"/>
        <w:jc w:val="both"/>
        <w:rPr>
          <w:sz w:val="24"/>
          <w:szCs w:val="24"/>
        </w:rPr>
      </w:pPr>
    </w:p>
    <w:p w14:paraId="235BDB64" w14:textId="77777777" w:rsidR="00951BEB" w:rsidRPr="00EB37BA" w:rsidRDefault="00951BEB" w:rsidP="00951BEB">
      <w:pPr>
        <w:numPr>
          <w:ilvl w:val="0"/>
          <w:numId w:val="21"/>
        </w:numPr>
        <w:spacing w:line="240" w:lineRule="exact"/>
        <w:jc w:val="both"/>
        <w:rPr>
          <w:sz w:val="24"/>
          <w:szCs w:val="24"/>
        </w:rPr>
      </w:pPr>
      <w:r w:rsidRPr="00EB37BA">
        <w:rPr>
          <w:sz w:val="24"/>
          <w:szCs w:val="24"/>
        </w:rPr>
        <w:t>Such conduct has the purpose or effect of unreasonably interfering with a student’s performance or creating an intimidating or hostile learning environment.</w:t>
      </w:r>
    </w:p>
    <w:p w14:paraId="15FC48D9" w14:textId="77777777" w:rsidR="00951BEB" w:rsidRPr="00EB37BA" w:rsidRDefault="00951BEB" w:rsidP="00951BEB">
      <w:pPr>
        <w:spacing w:line="240" w:lineRule="exact"/>
        <w:jc w:val="both"/>
        <w:rPr>
          <w:sz w:val="24"/>
          <w:szCs w:val="24"/>
        </w:rPr>
      </w:pPr>
    </w:p>
    <w:p w14:paraId="0A83652F" w14:textId="77777777" w:rsidR="00951BEB" w:rsidRPr="00EB37BA" w:rsidRDefault="00951BEB" w:rsidP="00951BEB">
      <w:pPr>
        <w:spacing w:line="240" w:lineRule="exact"/>
        <w:jc w:val="both"/>
        <w:rPr>
          <w:sz w:val="24"/>
          <w:szCs w:val="24"/>
        </w:rPr>
      </w:pPr>
      <w:r w:rsidRPr="00EB37BA">
        <w:rPr>
          <w:sz w:val="24"/>
          <w:szCs w:val="24"/>
        </w:rPr>
        <w:t>Harassment as described above may include, but is not limited to:</w:t>
      </w:r>
    </w:p>
    <w:p w14:paraId="6DCD5FF6" w14:textId="77777777" w:rsidR="00951BEB" w:rsidRPr="00EB37BA" w:rsidRDefault="00951BEB" w:rsidP="00951BEB">
      <w:pPr>
        <w:spacing w:line="240" w:lineRule="exact"/>
        <w:jc w:val="both"/>
        <w:rPr>
          <w:sz w:val="24"/>
          <w:szCs w:val="24"/>
        </w:rPr>
      </w:pPr>
    </w:p>
    <w:p w14:paraId="7AE760CB" w14:textId="77777777" w:rsidR="00951BEB" w:rsidRPr="00EB37BA" w:rsidRDefault="00951BEB" w:rsidP="00951BEB">
      <w:pPr>
        <w:numPr>
          <w:ilvl w:val="0"/>
          <w:numId w:val="22"/>
        </w:numPr>
        <w:spacing w:line="240" w:lineRule="exact"/>
        <w:jc w:val="both"/>
        <w:rPr>
          <w:sz w:val="24"/>
          <w:szCs w:val="24"/>
        </w:rPr>
      </w:pPr>
      <w:r w:rsidRPr="00EB37BA">
        <w:rPr>
          <w:sz w:val="24"/>
          <w:szCs w:val="24"/>
        </w:rPr>
        <w:t xml:space="preserve">Written, verbal, or physical (including texting, blogging, or other technological methods) harassment or </w:t>
      </w:r>
      <w:proofErr w:type="gramStart"/>
      <w:r w:rsidRPr="00EB37BA">
        <w:rPr>
          <w:sz w:val="24"/>
          <w:szCs w:val="24"/>
        </w:rPr>
        <w:t>abuse;</w:t>
      </w:r>
      <w:proofErr w:type="gramEnd"/>
    </w:p>
    <w:p w14:paraId="1979327A" w14:textId="77777777" w:rsidR="00951BEB" w:rsidRPr="00EB37BA" w:rsidRDefault="00951BEB" w:rsidP="00951BEB">
      <w:pPr>
        <w:numPr>
          <w:ilvl w:val="0"/>
          <w:numId w:val="22"/>
        </w:numPr>
        <w:spacing w:line="240" w:lineRule="exact"/>
        <w:jc w:val="both"/>
        <w:rPr>
          <w:sz w:val="24"/>
          <w:szCs w:val="24"/>
        </w:rPr>
      </w:pPr>
      <w:r w:rsidRPr="00EB37BA">
        <w:rPr>
          <w:sz w:val="24"/>
          <w:szCs w:val="24"/>
        </w:rPr>
        <w:t xml:space="preserve">Repeated remarks of a demeaning </w:t>
      </w:r>
      <w:proofErr w:type="gramStart"/>
      <w:r w:rsidRPr="00EB37BA">
        <w:rPr>
          <w:sz w:val="24"/>
          <w:szCs w:val="24"/>
        </w:rPr>
        <w:t>nature;</w:t>
      </w:r>
      <w:proofErr w:type="gramEnd"/>
    </w:p>
    <w:p w14:paraId="599226FE" w14:textId="77777777" w:rsidR="00951BEB" w:rsidRPr="00EB37BA" w:rsidRDefault="00951BEB" w:rsidP="00951BEB">
      <w:pPr>
        <w:numPr>
          <w:ilvl w:val="0"/>
          <w:numId w:val="22"/>
        </w:numPr>
        <w:spacing w:line="240" w:lineRule="exact"/>
        <w:jc w:val="both"/>
        <w:rPr>
          <w:sz w:val="24"/>
          <w:szCs w:val="24"/>
        </w:rPr>
      </w:pPr>
      <w:r w:rsidRPr="00EB37BA">
        <w:rPr>
          <w:sz w:val="24"/>
          <w:szCs w:val="24"/>
        </w:rPr>
        <w:t>Implied or explicit threats concerning one’s grades, achievements, or other school matter.</w:t>
      </w:r>
    </w:p>
    <w:p w14:paraId="56EED2B6" w14:textId="77777777" w:rsidR="00951BEB" w:rsidRPr="00EB37BA" w:rsidRDefault="00951BEB" w:rsidP="00951BEB">
      <w:pPr>
        <w:numPr>
          <w:ilvl w:val="0"/>
          <w:numId w:val="22"/>
        </w:numPr>
        <w:spacing w:line="240" w:lineRule="exact"/>
        <w:jc w:val="both"/>
        <w:rPr>
          <w:sz w:val="24"/>
          <w:szCs w:val="24"/>
        </w:rPr>
      </w:pPr>
      <w:r w:rsidRPr="00EB37BA">
        <w:rPr>
          <w:sz w:val="24"/>
          <w:szCs w:val="24"/>
        </w:rPr>
        <w:t>Demeaning jokes, stories, or activities directed at the student.</w:t>
      </w:r>
    </w:p>
    <w:p w14:paraId="2316744C" w14:textId="77777777" w:rsidR="00951BEB" w:rsidRPr="00EB37BA" w:rsidRDefault="00951BEB" w:rsidP="00951BEB">
      <w:pPr>
        <w:spacing w:line="240" w:lineRule="exact"/>
        <w:ind w:left="1440"/>
        <w:jc w:val="both"/>
        <w:rPr>
          <w:sz w:val="24"/>
          <w:szCs w:val="24"/>
        </w:rPr>
      </w:pPr>
    </w:p>
    <w:p w14:paraId="2F785BD5" w14:textId="77777777" w:rsidR="00951BEB" w:rsidRPr="00EB37BA" w:rsidRDefault="00951BEB" w:rsidP="00951BEB">
      <w:pPr>
        <w:spacing w:line="240" w:lineRule="exact"/>
        <w:jc w:val="both"/>
        <w:rPr>
          <w:sz w:val="24"/>
          <w:szCs w:val="24"/>
        </w:rPr>
      </w:pPr>
      <w:r w:rsidRPr="00EB37BA">
        <w:rPr>
          <w:sz w:val="24"/>
          <w:szCs w:val="24"/>
        </w:rPr>
        <w:t xml:space="preserve">By law, what constitutes harassment is determined from the perspective of a reasonable person with the characteristic on which the harassment is based. Individuals should consider how their words and actions might reasonably be viewed by others. </w:t>
      </w:r>
    </w:p>
    <w:p w14:paraId="3767B426" w14:textId="77777777" w:rsidR="00951BEB" w:rsidRPr="00EB37BA" w:rsidRDefault="00951BEB" w:rsidP="00951BEB">
      <w:pPr>
        <w:spacing w:line="240" w:lineRule="exact"/>
        <w:jc w:val="both"/>
        <w:rPr>
          <w:sz w:val="24"/>
          <w:szCs w:val="24"/>
        </w:rPr>
      </w:pPr>
    </w:p>
    <w:p w14:paraId="2076F15F" w14:textId="77777777" w:rsidR="00951BEB" w:rsidRPr="00EB37BA" w:rsidRDefault="00951BEB" w:rsidP="00951BEB">
      <w:pPr>
        <w:spacing w:line="240" w:lineRule="exact"/>
        <w:jc w:val="both"/>
        <w:rPr>
          <w:sz w:val="24"/>
          <w:szCs w:val="24"/>
        </w:rPr>
      </w:pPr>
      <w:r w:rsidRPr="00EB37BA">
        <w:rPr>
          <w:sz w:val="24"/>
          <w:szCs w:val="24"/>
        </w:rPr>
        <w:t xml:space="preserve">The </w:t>
      </w:r>
      <w:proofErr w:type="gramStart"/>
      <w:r w:rsidRPr="00EB37BA">
        <w:rPr>
          <w:sz w:val="24"/>
          <w:szCs w:val="24"/>
        </w:rPr>
        <w:t>District</w:t>
      </w:r>
      <w:proofErr w:type="gramEnd"/>
      <w:r w:rsidRPr="00EB37BA">
        <w:rPr>
          <w:sz w:val="24"/>
          <w:szCs w:val="24"/>
        </w:rPr>
        <w:t xml:space="preserve"> will promptly and reasonably investigate allegations of harassment through designation of Title IX Coordinator or building based employees, who may include principals or their designees. The superintendent will recommend, in consultation with the principals, opportunities to the designated recipients for appropriate training.  Where it is determined that discrimination or harassment has occurred, the </w:t>
      </w:r>
      <w:proofErr w:type="gramStart"/>
      <w:r w:rsidRPr="00EB37BA">
        <w:rPr>
          <w:sz w:val="24"/>
          <w:szCs w:val="24"/>
        </w:rPr>
        <w:t>District</w:t>
      </w:r>
      <w:proofErr w:type="gramEnd"/>
      <w:r w:rsidRPr="00EB37BA">
        <w:rPr>
          <w:sz w:val="24"/>
          <w:szCs w:val="24"/>
        </w:rPr>
        <w:t xml:space="preserve"> will act promptly to eliminate the conduct and will impose developmentally appropriate disciplinary, restorative and/or corrective action.</w:t>
      </w:r>
    </w:p>
    <w:p w14:paraId="0E167BA4" w14:textId="77777777" w:rsidR="00951BEB" w:rsidRPr="00EB37BA" w:rsidRDefault="00951BEB" w:rsidP="00951BEB">
      <w:pPr>
        <w:jc w:val="both"/>
        <w:rPr>
          <w:rFonts w:eastAsia="Calibri"/>
          <w:sz w:val="24"/>
          <w:szCs w:val="24"/>
        </w:rPr>
      </w:pPr>
    </w:p>
    <w:p w14:paraId="0F9209EA" w14:textId="77777777" w:rsidR="00951BEB" w:rsidRPr="00EB37BA" w:rsidRDefault="00951BEB" w:rsidP="00951BEB">
      <w:pPr>
        <w:jc w:val="both"/>
        <w:rPr>
          <w:rFonts w:eastAsia="Calibri"/>
          <w:sz w:val="24"/>
          <w:szCs w:val="24"/>
          <w:highlight w:val="white"/>
        </w:rPr>
      </w:pPr>
      <w:r w:rsidRPr="00EB37BA">
        <w:rPr>
          <w:rFonts w:eastAsia="Calibri"/>
          <w:sz w:val="24"/>
          <w:szCs w:val="24"/>
        </w:rPr>
        <w:lastRenderedPageBreak/>
        <w:t xml:space="preserve">The </w:t>
      </w:r>
      <w:proofErr w:type="gramStart"/>
      <w:r w:rsidRPr="00EB37BA">
        <w:rPr>
          <w:rFonts w:eastAsia="Calibri"/>
          <w:sz w:val="24"/>
          <w:szCs w:val="24"/>
        </w:rPr>
        <w:t>District</w:t>
      </w:r>
      <w:proofErr w:type="gramEnd"/>
      <w:r w:rsidRPr="00EB37BA">
        <w:rPr>
          <w:rFonts w:eastAsia="Calibri"/>
          <w:sz w:val="24"/>
          <w:szCs w:val="24"/>
        </w:rPr>
        <w:t xml:space="preserve"> will respond promptly and reasonably investigate allegations of sexual harassment through designation of the Title IX Coordinator or building based employees to any reports or complaints of discrimination, including harassment and retaliation, or other violations of civil rights, pursuant to our detailed response protocol. Where it is determined that discrimination or harassment has occurred, the </w:t>
      </w:r>
      <w:proofErr w:type="gramStart"/>
      <w:r w:rsidRPr="00EB37BA">
        <w:rPr>
          <w:rFonts w:eastAsia="Calibri"/>
          <w:sz w:val="24"/>
          <w:szCs w:val="24"/>
        </w:rPr>
        <w:t>District</w:t>
      </w:r>
      <w:proofErr w:type="gramEnd"/>
      <w:r w:rsidRPr="00EB37BA">
        <w:rPr>
          <w:rFonts w:eastAsia="Calibri"/>
          <w:sz w:val="24"/>
          <w:szCs w:val="24"/>
        </w:rPr>
        <w:t xml:space="preserve"> will act promptly to eliminate the conduct and will impose developmentally- appropriate disciplinary, restorative, and/or corrective action.  </w:t>
      </w:r>
    </w:p>
    <w:p w14:paraId="7093067C" w14:textId="76A0395E" w:rsidR="00951BEB" w:rsidRDefault="00951BEB" w:rsidP="00951BEB">
      <w:pPr>
        <w:jc w:val="both"/>
        <w:rPr>
          <w:rFonts w:eastAsia="Calibri"/>
          <w:sz w:val="24"/>
          <w:szCs w:val="24"/>
        </w:rPr>
      </w:pPr>
    </w:p>
    <w:p w14:paraId="7BC5B4CB" w14:textId="77777777" w:rsidR="00AF7B5F" w:rsidRDefault="00AF7B5F" w:rsidP="00951BEB">
      <w:pPr>
        <w:jc w:val="both"/>
        <w:rPr>
          <w:rFonts w:eastAsia="Calibri"/>
          <w:sz w:val="24"/>
          <w:szCs w:val="24"/>
        </w:rPr>
      </w:pPr>
    </w:p>
    <w:p w14:paraId="31CD5E43" w14:textId="77777777" w:rsidR="00AF7B5F" w:rsidRPr="007D0AEE" w:rsidRDefault="00AF7B5F" w:rsidP="00AF7B5F">
      <w:pPr>
        <w:jc w:val="both"/>
        <w:rPr>
          <w:rFonts w:eastAsia="Calibri"/>
          <w:sz w:val="24"/>
          <w:szCs w:val="24"/>
        </w:rPr>
      </w:pPr>
      <w:r w:rsidRPr="007D0AEE">
        <w:rPr>
          <w:color w:val="000000"/>
          <w:sz w:val="24"/>
          <w:szCs w:val="24"/>
        </w:rPr>
        <w:t>*</w:t>
      </w:r>
      <w:proofErr w:type="gramStart"/>
      <w:r w:rsidRPr="007D0AEE">
        <w:rPr>
          <w:color w:val="000000"/>
          <w:sz w:val="24"/>
          <w:szCs w:val="24"/>
        </w:rPr>
        <w:t>race</w:t>
      </w:r>
      <w:proofErr w:type="gramEnd"/>
      <w:r w:rsidRPr="007D0AEE">
        <w:rPr>
          <w:color w:val="000000"/>
          <w:sz w:val="24"/>
          <w:szCs w:val="24"/>
        </w:rPr>
        <w:t xml:space="preserve"> to include traits historically associated with race, including, but not limited to, hair texture, hair type, hair length and protective hairstyles.</w:t>
      </w:r>
    </w:p>
    <w:p w14:paraId="39CABD4F" w14:textId="77777777" w:rsidR="00AF7B5F" w:rsidRPr="00EB37BA" w:rsidRDefault="00AF7B5F" w:rsidP="00951BEB">
      <w:pPr>
        <w:jc w:val="both"/>
        <w:rPr>
          <w:rFonts w:eastAsia="Calibri"/>
          <w:sz w:val="24"/>
          <w:szCs w:val="24"/>
        </w:rPr>
      </w:pPr>
    </w:p>
    <w:p w14:paraId="536CB0E4" w14:textId="77777777" w:rsidR="00951BEB" w:rsidRPr="00EB37BA" w:rsidRDefault="00951BEB" w:rsidP="00951BEB">
      <w:pPr>
        <w:jc w:val="both"/>
        <w:rPr>
          <w:rFonts w:eastAsia="Calibri"/>
          <w:sz w:val="24"/>
          <w:szCs w:val="24"/>
        </w:rPr>
      </w:pPr>
    </w:p>
    <w:p w14:paraId="0BCAFFC3" w14:textId="77777777" w:rsidR="00951BEB" w:rsidRPr="00EB37BA" w:rsidRDefault="00951BEB" w:rsidP="00951BEB">
      <w:pPr>
        <w:spacing w:line="240" w:lineRule="exact"/>
        <w:jc w:val="both"/>
        <w:rPr>
          <w:sz w:val="24"/>
          <w:szCs w:val="24"/>
        </w:rPr>
      </w:pPr>
      <w:r w:rsidRPr="00EB37BA">
        <w:rPr>
          <w:sz w:val="24"/>
          <w:szCs w:val="24"/>
        </w:rPr>
        <w:t>LEGAL REF.:</w:t>
      </w:r>
      <w:r w:rsidRPr="00EB37BA">
        <w:rPr>
          <w:sz w:val="24"/>
          <w:szCs w:val="24"/>
        </w:rPr>
        <w:tab/>
      </w:r>
      <w:r w:rsidRPr="00EB37BA">
        <w:rPr>
          <w:sz w:val="24"/>
          <w:szCs w:val="24"/>
        </w:rPr>
        <w:tab/>
        <w:t>M.G.L. 151B:3A</w:t>
      </w:r>
    </w:p>
    <w:p w14:paraId="05C282A8" w14:textId="77777777" w:rsidR="00951BEB" w:rsidRPr="00EB37BA" w:rsidRDefault="00951BEB" w:rsidP="00951BEB">
      <w:pPr>
        <w:spacing w:line="240" w:lineRule="exact"/>
        <w:ind w:left="2160"/>
        <w:jc w:val="both"/>
        <w:rPr>
          <w:sz w:val="24"/>
          <w:szCs w:val="24"/>
        </w:rPr>
      </w:pPr>
      <w:r w:rsidRPr="00EB37BA">
        <w:rPr>
          <w:sz w:val="24"/>
          <w:szCs w:val="24"/>
        </w:rPr>
        <w:t>Title IX of the Education Amendments of 1972</w:t>
      </w:r>
    </w:p>
    <w:p w14:paraId="121B1DF5" w14:textId="77777777" w:rsidR="00951BEB" w:rsidRPr="00EB37BA" w:rsidRDefault="00951BEB" w:rsidP="00951BEB">
      <w:pPr>
        <w:spacing w:line="240" w:lineRule="exact"/>
        <w:ind w:left="2160"/>
        <w:jc w:val="both"/>
        <w:rPr>
          <w:sz w:val="24"/>
          <w:szCs w:val="24"/>
        </w:rPr>
      </w:pPr>
      <w:r w:rsidRPr="00EB37BA">
        <w:rPr>
          <w:sz w:val="24"/>
          <w:szCs w:val="24"/>
        </w:rPr>
        <w:t>BESE 603 CMR 26:00</w:t>
      </w:r>
    </w:p>
    <w:p w14:paraId="3558F8F3" w14:textId="77777777" w:rsidR="00951BEB" w:rsidRPr="00EB37BA" w:rsidRDefault="00951BEB" w:rsidP="00951BEB">
      <w:pPr>
        <w:spacing w:line="240" w:lineRule="exact"/>
        <w:ind w:left="2160"/>
        <w:jc w:val="both"/>
        <w:rPr>
          <w:sz w:val="24"/>
          <w:szCs w:val="24"/>
        </w:rPr>
      </w:pPr>
      <w:r w:rsidRPr="00EB37BA">
        <w:rPr>
          <w:sz w:val="24"/>
          <w:szCs w:val="24"/>
        </w:rPr>
        <w:t>34 CFR 106.44 (a), (a)-(b)</w:t>
      </w:r>
    </w:p>
    <w:p w14:paraId="31535DEA" w14:textId="77777777" w:rsidR="00951BEB" w:rsidRPr="00EB37BA" w:rsidRDefault="00951BEB" w:rsidP="00951BEB">
      <w:pPr>
        <w:spacing w:line="240" w:lineRule="exact"/>
        <w:ind w:left="2160"/>
        <w:jc w:val="both"/>
        <w:rPr>
          <w:sz w:val="24"/>
          <w:szCs w:val="24"/>
        </w:rPr>
      </w:pPr>
      <w:r w:rsidRPr="00EB37BA">
        <w:rPr>
          <w:sz w:val="24"/>
          <w:szCs w:val="24"/>
        </w:rPr>
        <w:t>34 CFR 106.45 (a)-(b) (1)</w:t>
      </w:r>
    </w:p>
    <w:p w14:paraId="6646B977" w14:textId="5CA3E743" w:rsidR="00951BEB" w:rsidRDefault="00951BEB" w:rsidP="00951BEB">
      <w:pPr>
        <w:spacing w:line="240" w:lineRule="exact"/>
        <w:ind w:left="2160"/>
        <w:jc w:val="both"/>
        <w:rPr>
          <w:sz w:val="24"/>
          <w:szCs w:val="24"/>
        </w:rPr>
      </w:pPr>
      <w:r w:rsidRPr="00EB37BA">
        <w:rPr>
          <w:sz w:val="24"/>
          <w:szCs w:val="24"/>
        </w:rPr>
        <w:t>34 CFR 106.45 (b)(</w:t>
      </w:r>
      <w:proofErr w:type="gramStart"/>
      <w:r w:rsidRPr="00EB37BA">
        <w:rPr>
          <w:sz w:val="24"/>
          <w:szCs w:val="24"/>
        </w:rPr>
        <w:t>2)-(</w:t>
      </w:r>
      <w:proofErr w:type="gramEnd"/>
      <w:r w:rsidRPr="00EB37BA">
        <w:rPr>
          <w:sz w:val="24"/>
          <w:szCs w:val="24"/>
        </w:rPr>
        <w:t>b)(3,4,5,6,7) as revised through June 2020</w:t>
      </w:r>
    </w:p>
    <w:p w14:paraId="73A25966" w14:textId="1AF5E6B9" w:rsidR="00AF7B5F" w:rsidRPr="007D0AEE" w:rsidRDefault="00AF7B5F" w:rsidP="00AF7B5F">
      <w:pPr>
        <w:ind w:left="2160"/>
        <w:rPr>
          <w:sz w:val="24"/>
          <w:szCs w:val="24"/>
        </w:rPr>
      </w:pPr>
      <w:r w:rsidRPr="007D0AEE">
        <w:rPr>
          <w:color w:val="000000"/>
          <w:sz w:val="24"/>
          <w:szCs w:val="24"/>
        </w:rPr>
        <w:t xml:space="preserve">Acts of 2022, Chapter 117 - </w:t>
      </w:r>
      <w:hyperlink r:id="rId7" w:history="1">
        <w:r w:rsidRPr="007E4B0F">
          <w:rPr>
            <w:rStyle w:val="Hyperlink"/>
            <w:sz w:val="24"/>
            <w:szCs w:val="24"/>
          </w:rPr>
          <w:t>https://malegislature.gov/Laws/SessionLaws/Acts/2022/Chapter117</w:t>
        </w:r>
      </w:hyperlink>
      <w:r>
        <w:rPr>
          <w:color w:val="000000"/>
          <w:sz w:val="24"/>
          <w:szCs w:val="24"/>
        </w:rPr>
        <w:t xml:space="preserve"> </w:t>
      </w:r>
    </w:p>
    <w:p w14:paraId="16EBEAFB" w14:textId="77777777" w:rsidR="00AF7B5F" w:rsidRPr="00EB37BA" w:rsidRDefault="00AF7B5F" w:rsidP="00951BEB">
      <w:pPr>
        <w:spacing w:line="240" w:lineRule="exact"/>
        <w:ind w:left="2160"/>
        <w:jc w:val="both"/>
        <w:rPr>
          <w:sz w:val="24"/>
          <w:szCs w:val="24"/>
        </w:rPr>
      </w:pPr>
    </w:p>
    <w:p w14:paraId="10A6FD0E" w14:textId="77777777" w:rsidR="00951BEB" w:rsidRPr="00EB37BA" w:rsidRDefault="00951BEB" w:rsidP="00951BEB">
      <w:pPr>
        <w:spacing w:line="240" w:lineRule="exact"/>
        <w:jc w:val="both"/>
        <w:rPr>
          <w:sz w:val="24"/>
          <w:szCs w:val="24"/>
        </w:rPr>
      </w:pPr>
      <w:r w:rsidRPr="00EB37BA">
        <w:rPr>
          <w:sz w:val="24"/>
          <w:szCs w:val="24"/>
        </w:rPr>
        <w:t>CROSS REF.:</w:t>
      </w:r>
      <w:r w:rsidRPr="00EB37BA">
        <w:rPr>
          <w:sz w:val="24"/>
          <w:szCs w:val="24"/>
        </w:rPr>
        <w:tab/>
      </w:r>
      <w:r w:rsidRPr="00EB37BA">
        <w:rPr>
          <w:sz w:val="24"/>
          <w:szCs w:val="24"/>
        </w:rPr>
        <w:tab/>
        <w:t>AC, Non-Discrimination Policy Including Harassment and Retaliation</w:t>
      </w:r>
    </w:p>
    <w:p w14:paraId="7146C60B" w14:textId="77777777" w:rsidR="00951BEB" w:rsidRPr="00EB37BA" w:rsidRDefault="00951BEB" w:rsidP="00951BEB">
      <w:pPr>
        <w:jc w:val="both"/>
        <w:rPr>
          <w:rFonts w:eastAsia="Calibri"/>
          <w:sz w:val="24"/>
          <w:szCs w:val="24"/>
        </w:rPr>
      </w:pPr>
    </w:p>
    <w:p w14:paraId="2D62D579" w14:textId="672F814C" w:rsidR="00D6517A" w:rsidRPr="00951BEB" w:rsidRDefault="00951BEB" w:rsidP="00AF7B5F">
      <w:pPr>
        <w:jc w:val="both"/>
      </w:pPr>
      <w:r w:rsidRPr="00EB37BA">
        <w:rPr>
          <w:rFonts w:eastAsia="Calibri"/>
          <w:sz w:val="24"/>
          <w:szCs w:val="24"/>
        </w:rPr>
        <w:t xml:space="preserve">SOURCE:  MASC – </w:t>
      </w:r>
      <w:r w:rsidR="00AF7B5F">
        <w:rPr>
          <w:rFonts w:eastAsia="Calibri"/>
          <w:sz w:val="24"/>
          <w:szCs w:val="24"/>
        </w:rPr>
        <w:t>September 2022</w:t>
      </w:r>
    </w:p>
    <w:sectPr w:rsidR="00D6517A" w:rsidRPr="00951BEB" w:rsidSect="00F85CE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CA15A" w14:textId="77777777" w:rsidR="00F74F95" w:rsidRDefault="00F74F95" w:rsidP="00F85CE0">
      <w:r>
        <w:separator/>
      </w:r>
    </w:p>
  </w:endnote>
  <w:endnote w:type="continuationSeparator" w:id="0">
    <w:p w14:paraId="10A6EAED" w14:textId="77777777" w:rsidR="00F74F95" w:rsidRDefault="00F74F95" w:rsidP="00F8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8C1C" w14:textId="77777777" w:rsidR="00F74F95" w:rsidRDefault="00F74F95" w:rsidP="00F85CE0">
      <w:r>
        <w:separator/>
      </w:r>
    </w:p>
  </w:footnote>
  <w:footnote w:type="continuationSeparator" w:id="0">
    <w:p w14:paraId="072F1EED" w14:textId="77777777" w:rsidR="00F74F95" w:rsidRDefault="00F74F95" w:rsidP="00F8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2FF4"/>
    <w:multiLevelType w:val="hybridMultilevel"/>
    <w:tmpl w:val="E5A0B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723EB"/>
    <w:multiLevelType w:val="hybridMultilevel"/>
    <w:tmpl w:val="587ABEB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E97CE4"/>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D025C"/>
    <w:multiLevelType w:val="hybridMultilevel"/>
    <w:tmpl w:val="5B1EF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42266"/>
    <w:multiLevelType w:val="hybridMultilevel"/>
    <w:tmpl w:val="CF080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43CCE"/>
    <w:multiLevelType w:val="hybridMultilevel"/>
    <w:tmpl w:val="B4548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7F14"/>
    <w:multiLevelType w:val="hybridMultilevel"/>
    <w:tmpl w:val="CB762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24751"/>
    <w:multiLevelType w:val="hybridMultilevel"/>
    <w:tmpl w:val="586C8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4C69B3"/>
    <w:multiLevelType w:val="hybridMultilevel"/>
    <w:tmpl w:val="87485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F6E82"/>
    <w:multiLevelType w:val="hybridMultilevel"/>
    <w:tmpl w:val="64CA3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5036AD"/>
    <w:multiLevelType w:val="hybridMultilevel"/>
    <w:tmpl w:val="740EB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743330"/>
    <w:multiLevelType w:val="hybridMultilevel"/>
    <w:tmpl w:val="67129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966258"/>
    <w:multiLevelType w:val="hybridMultilevel"/>
    <w:tmpl w:val="434AC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032DBC"/>
    <w:multiLevelType w:val="hybridMultilevel"/>
    <w:tmpl w:val="99D8654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01130CC"/>
    <w:multiLevelType w:val="hybridMultilevel"/>
    <w:tmpl w:val="61C41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52FC6"/>
    <w:multiLevelType w:val="hybridMultilevel"/>
    <w:tmpl w:val="17A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D012AE"/>
    <w:multiLevelType w:val="hybridMultilevel"/>
    <w:tmpl w:val="93327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031D78"/>
    <w:multiLevelType w:val="hybridMultilevel"/>
    <w:tmpl w:val="734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B287D"/>
    <w:multiLevelType w:val="hybridMultilevel"/>
    <w:tmpl w:val="120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A7116"/>
    <w:multiLevelType w:val="hybridMultilevel"/>
    <w:tmpl w:val="5D9CC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9B5430"/>
    <w:multiLevelType w:val="hybridMultilevel"/>
    <w:tmpl w:val="EA14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43793"/>
    <w:multiLevelType w:val="hybridMultilevel"/>
    <w:tmpl w:val="8408A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2996513">
    <w:abstractNumId w:val="2"/>
  </w:num>
  <w:num w:numId="2" w16cid:durableId="2070881457">
    <w:abstractNumId w:val="15"/>
  </w:num>
  <w:num w:numId="3" w16cid:durableId="80032692">
    <w:abstractNumId w:val="20"/>
  </w:num>
  <w:num w:numId="4" w16cid:durableId="1785153886">
    <w:abstractNumId w:val="17"/>
  </w:num>
  <w:num w:numId="5" w16cid:durableId="1803033897">
    <w:abstractNumId w:val="9"/>
  </w:num>
  <w:num w:numId="6" w16cid:durableId="1610163914">
    <w:abstractNumId w:val="12"/>
  </w:num>
  <w:num w:numId="7" w16cid:durableId="657151705">
    <w:abstractNumId w:val="0"/>
  </w:num>
  <w:num w:numId="8" w16cid:durableId="953053301">
    <w:abstractNumId w:val="21"/>
  </w:num>
  <w:num w:numId="9" w16cid:durableId="1114709063">
    <w:abstractNumId w:val="11"/>
  </w:num>
  <w:num w:numId="10" w16cid:durableId="1238782277">
    <w:abstractNumId w:val="16"/>
  </w:num>
  <w:num w:numId="11" w16cid:durableId="796070360">
    <w:abstractNumId w:val="4"/>
  </w:num>
  <w:num w:numId="12" w16cid:durableId="78450266">
    <w:abstractNumId w:val="5"/>
  </w:num>
  <w:num w:numId="13" w16cid:durableId="1821967625">
    <w:abstractNumId w:val="6"/>
  </w:num>
  <w:num w:numId="14" w16cid:durableId="1079249221">
    <w:abstractNumId w:val="3"/>
  </w:num>
  <w:num w:numId="15" w16cid:durableId="957757464">
    <w:abstractNumId w:val="7"/>
  </w:num>
  <w:num w:numId="16" w16cid:durableId="1352335906">
    <w:abstractNumId w:val="10"/>
  </w:num>
  <w:num w:numId="17" w16cid:durableId="1084690779">
    <w:abstractNumId w:val="14"/>
  </w:num>
  <w:num w:numId="18" w16cid:durableId="1329747001">
    <w:abstractNumId w:val="8"/>
  </w:num>
  <w:num w:numId="19" w16cid:durableId="922838042">
    <w:abstractNumId w:val="19"/>
  </w:num>
  <w:num w:numId="20" w16cid:durableId="1791314026">
    <w:abstractNumId w:val="18"/>
  </w:num>
  <w:num w:numId="21" w16cid:durableId="1445341958">
    <w:abstractNumId w:val="13"/>
  </w:num>
  <w:num w:numId="22" w16cid:durableId="2125540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E0"/>
    <w:rsid w:val="00102B64"/>
    <w:rsid w:val="00170057"/>
    <w:rsid w:val="00287F3B"/>
    <w:rsid w:val="002C48FE"/>
    <w:rsid w:val="003B3605"/>
    <w:rsid w:val="003E704E"/>
    <w:rsid w:val="004B7D8E"/>
    <w:rsid w:val="005B323D"/>
    <w:rsid w:val="00601C0F"/>
    <w:rsid w:val="00670D02"/>
    <w:rsid w:val="006F45C2"/>
    <w:rsid w:val="006F6356"/>
    <w:rsid w:val="008E7E97"/>
    <w:rsid w:val="00926D43"/>
    <w:rsid w:val="00951BEB"/>
    <w:rsid w:val="00A74104"/>
    <w:rsid w:val="00AC540A"/>
    <w:rsid w:val="00AF7B5F"/>
    <w:rsid w:val="00B17281"/>
    <w:rsid w:val="00BC5829"/>
    <w:rsid w:val="00C32040"/>
    <w:rsid w:val="00D6517A"/>
    <w:rsid w:val="00D81010"/>
    <w:rsid w:val="00DE5B17"/>
    <w:rsid w:val="00DE60A2"/>
    <w:rsid w:val="00F74F95"/>
    <w:rsid w:val="00F85CE0"/>
    <w:rsid w:val="00FD6275"/>
    <w:rsid w:val="00FE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998"/>
  <w15:chartTrackingRefBased/>
  <w15:docId w15:val="{9A00718D-498D-461B-97D2-D753E736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E0"/>
    <w:pPr>
      <w:spacing w:line="240" w:lineRule="auto"/>
    </w:pPr>
    <w:rPr>
      <w:rFonts w:eastAsia="Times New Roman"/>
      <w:sz w:val="20"/>
      <w:szCs w:val="20"/>
    </w:rPr>
  </w:style>
  <w:style w:type="paragraph" w:styleId="Heading1">
    <w:name w:val="heading 1"/>
    <w:basedOn w:val="Normal"/>
    <w:next w:val="Normal"/>
    <w:link w:val="Heading1Char"/>
    <w:qFormat/>
    <w:rsid w:val="00102B64"/>
    <w:pPr>
      <w:keepNext/>
      <w:widowControl w:val="0"/>
      <w:spacing w:line="240" w:lineRule="exac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E0"/>
    <w:pPr>
      <w:tabs>
        <w:tab w:val="center" w:pos="4680"/>
        <w:tab w:val="right" w:pos="9360"/>
      </w:tabs>
    </w:pPr>
  </w:style>
  <w:style w:type="character" w:customStyle="1" w:styleId="HeaderChar">
    <w:name w:val="Header Char"/>
    <w:basedOn w:val="DefaultParagraphFont"/>
    <w:link w:val="Header"/>
    <w:uiPriority w:val="99"/>
    <w:rsid w:val="00F85CE0"/>
  </w:style>
  <w:style w:type="paragraph" w:styleId="Footer">
    <w:name w:val="footer"/>
    <w:basedOn w:val="Normal"/>
    <w:link w:val="FooterChar"/>
    <w:uiPriority w:val="99"/>
    <w:unhideWhenUsed/>
    <w:rsid w:val="00F85CE0"/>
    <w:pPr>
      <w:tabs>
        <w:tab w:val="center" w:pos="4680"/>
        <w:tab w:val="right" w:pos="9360"/>
      </w:tabs>
    </w:pPr>
  </w:style>
  <w:style w:type="character" w:customStyle="1" w:styleId="FooterChar">
    <w:name w:val="Footer Char"/>
    <w:basedOn w:val="DefaultParagraphFont"/>
    <w:link w:val="Footer"/>
    <w:uiPriority w:val="99"/>
    <w:rsid w:val="00F85CE0"/>
  </w:style>
  <w:style w:type="paragraph" w:styleId="ListParagraph">
    <w:name w:val="List Paragraph"/>
    <w:basedOn w:val="Normal"/>
    <w:uiPriority w:val="34"/>
    <w:qFormat/>
    <w:rsid w:val="00AC540A"/>
    <w:pPr>
      <w:ind w:left="720"/>
      <w:contextualSpacing/>
    </w:pPr>
  </w:style>
  <w:style w:type="paragraph" w:customStyle="1" w:styleId="PolicyCode">
    <w:name w:val="Policy Code"/>
    <w:basedOn w:val="Normal"/>
    <w:qFormat/>
    <w:rsid w:val="00AC540A"/>
    <w:pPr>
      <w:tabs>
        <w:tab w:val="left" w:pos="1987"/>
      </w:tabs>
      <w:suppressAutoHyphens/>
      <w:ind w:left="1987" w:hanging="1987"/>
    </w:pPr>
    <w:rPr>
      <w:rFonts w:eastAsia="Calibri"/>
      <w:sz w:val="22"/>
      <w:szCs w:val="22"/>
    </w:rPr>
  </w:style>
  <w:style w:type="paragraph" w:customStyle="1" w:styleId="PolicyTitle">
    <w:name w:val="Policy Title"/>
    <w:basedOn w:val="Normal"/>
    <w:qFormat/>
    <w:rsid w:val="00AC540A"/>
    <w:pPr>
      <w:suppressAutoHyphens/>
      <w:jc w:val="center"/>
    </w:pPr>
    <w:rPr>
      <w:rFonts w:eastAsiaTheme="minorHAnsi"/>
      <w:b/>
      <w:sz w:val="28"/>
      <w:szCs w:val="22"/>
    </w:rPr>
  </w:style>
  <w:style w:type="paragraph" w:styleId="NormalWeb">
    <w:name w:val="Normal (Web)"/>
    <w:basedOn w:val="Normal"/>
    <w:uiPriority w:val="99"/>
    <w:unhideWhenUsed/>
    <w:rsid w:val="00A74104"/>
    <w:pPr>
      <w:spacing w:before="100" w:beforeAutospacing="1" w:after="100" w:afterAutospacing="1"/>
    </w:pPr>
    <w:rPr>
      <w:rFonts w:ascii="Georgia" w:hAnsi="Georgia"/>
      <w:sz w:val="23"/>
      <w:szCs w:val="23"/>
    </w:rPr>
  </w:style>
  <w:style w:type="character" w:styleId="FootnoteReference">
    <w:name w:val="footnote reference"/>
    <w:basedOn w:val="DefaultParagraphFont"/>
    <w:rsid w:val="008E7E97"/>
  </w:style>
  <w:style w:type="paragraph" w:styleId="FootnoteText">
    <w:name w:val="footnote text"/>
    <w:basedOn w:val="Normal"/>
    <w:link w:val="FootnoteTextChar"/>
    <w:rsid w:val="008E7E97"/>
    <w:rPr>
      <w:color w:val="000000"/>
    </w:rPr>
  </w:style>
  <w:style w:type="character" w:customStyle="1" w:styleId="FootnoteTextChar">
    <w:name w:val="Footnote Text Char"/>
    <w:basedOn w:val="DefaultParagraphFont"/>
    <w:link w:val="FootnoteText"/>
    <w:rsid w:val="008E7E97"/>
    <w:rPr>
      <w:rFonts w:eastAsia="Times New Roman"/>
      <w:color w:val="000000"/>
      <w:sz w:val="20"/>
      <w:szCs w:val="20"/>
    </w:rPr>
  </w:style>
  <w:style w:type="character" w:styleId="Hyperlink">
    <w:name w:val="Hyperlink"/>
    <w:basedOn w:val="DefaultParagraphFont"/>
    <w:uiPriority w:val="99"/>
    <w:unhideWhenUsed/>
    <w:rsid w:val="008E7E97"/>
    <w:rPr>
      <w:color w:val="0563C1" w:themeColor="hyperlink"/>
      <w:u w:val="single"/>
    </w:rPr>
  </w:style>
  <w:style w:type="character" w:customStyle="1" w:styleId="Heading1Char">
    <w:name w:val="Heading 1 Char"/>
    <w:basedOn w:val="DefaultParagraphFont"/>
    <w:link w:val="Heading1"/>
    <w:rsid w:val="00102B64"/>
    <w:rPr>
      <w:rFonts w:eastAsia="Times New Roman"/>
      <w:b/>
      <w:szCs w:val="20"/>
    </w:rPr>
  </w:style>
  <w:style w:type="paragraph" w:styleId="BodyText">
    <w:name w:val="Body Text"/>
    <w:basedOn w:val="Normal"/>
    <w:link w:val="BodyTextChar"/>
    <w:rsid w:val="00601C0F"/>
    <w:rPr>
      <w:sz w:val="24"/>
    </w:rPr>
  </w:style>
  <w:style w:type="character" w:customStyle="1" w:styleId="BodyTextChar">
    <w:name w:val="Body Text Char"/>
    <w:basedOn w:val="DefaultParagraphFont"/>
    <w:link w:val="BodyText"/>
    <w:rsid w:val="00601C0F"/>
    <w:rPr>
      <w:rFonts w:eastAsia="Times New Roman"/>
      <w:szCs w:val="20"/>
    </w:rPr>
  </w:style>
  <w:style w:type="character" w:styleId="UnresolvedMention">
    <w:name w:val="Unresolved Mention"/>
    <w:basedOn w:val="DefaultParagraphFont"/>
    <w:uiPriority w:val="99"/>
    <w:semiHidden/>
    <w:unhideWhenUsed/>
    <w:rsid w:val="00AF7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legislature.gov/Laws/SessionLaws/Acts/2022/Chapter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2022-09-29T16:39:00Z</dcterms:created>
  <dcterms:modified xsi:type="dcterms:W3CDTF">2022-09-29T16:39:00Z</dcterms:modified>
</cp:coreProperties>
</file>